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190F9" w14:textId="10B84410" w:rsidR="005F3A73" w:rsidRPr="003F5B3C" w:rsidRDefault="005F3A73" w:rsidP="005F3A73">
      <w:pPr>
        <w:jc w:val="both"/>
        <w:rPr>
          <w:b/>
          <w:sz w:val="18"/>
          <w:szCs w:val="18"/>
          <w:lang w:val="ro-MD"/>
        </w:rPr>
      </w:pPr>
      <w:r w:rsidRPr="003F5B3C">
        <w:rPr>
          <w:b/>
          <w:sz w:val="18"/>
          <w:szCs w:val="18"/>
          <w:lang w:val="ro-MD"/>
        </w:rPr>
        <w:t xml:space="preserve">                                                                                                                                                                                                                                                                                                                                                                                                                                                          Tabelul de concordanţă </w:t>
      </w:r>
    </w:p>
    <w:p w14:paraId="73E36AB5" w14:textId="77777777" w:rsidR="005F3A73" w:rsidRPr="003F5B3C" w:rsidRDefault="005F3A73" w:rsidP="005F3A73">
      <w:pPr>
        <w:jc w:val="both"/>
        <w:rPr>
          <w:b/>
          <w:sz w:val="18"/>
          <w:szCs w:val="18"/>
          <w:lang w:val="ro-MD"/>
        </w:rPr>
      </w:pPr>
    </w:p>
    <w:p w14:paraId="7FD294B9" w14:textId="2DD0976D" w:rsidR="005F3A73" w:rsidRPr="003F5B3C" w:rsidRDefault="00B93C1C" w:rsidP="005F3A73">
      <w:pPr>
        <w:jc w:val="both"/>
        <w:rPr>
          <w:rFonts w:eastAsia="Arial Unicode MS"/>
          <w:b/>
          <w:bCs/>
          <w:sz w:val="18"/>
          <w:szCs w:val="18"/>
          <w:lang w:val="ro-MD"/>
        </w:rPr>
      </w:pPr>
      <w:r w:rsidRPr="003F5B3C">
        <w:rPr>
          <w:rFonts w:eastAsia="Arial Unicode MS"/>
          <w:b/>
          <w:bCs/>
          <w:sz w:val="18"/>
          <w:szCs w:val="18"/>
          <w:lang w:val="ro-MD"/>
        </w:rPr>
        <w:t>Regulamentul nr. 575/2013 al Parlamentului European și al Consiliului din 26 iunie 2013 privind cerințele prudențiale pentru instituțiile de credit și de modificare a Regulamentului (UE) nr. 648/2012, publicat în Jurnalul Oficial al Uniuni Europene L 176 din 27 iunie 2013, CELEX: 32013R0575, așa cum a fost modificat ultima dată prin Regulamentul (UE) 2023/2869 al Parlamentului European și al Consiliului din 13 decembrie 2023</w:t>
      </w:r>
    </w:p>
    <w:p w14:paraId="68723932" w14:textId="77777777" w:rsidR="00B93C1C" w:rsidRPr="003F5B3C" w:rsidRDefault="00B93C1C" w:rsidP="005F3A73">
      <w:pPr>
        <w:jc w:val="both"/>
        <w:rPr>
          <w:b/>
          <w:bCs/>
          <w:sz w:val="18"/>
          <w:szCs w:val="18"/>
          <w:lang w:val="ro-MD"/>
        </w:rPr>
      </w:pPr>
    </w:p>
    <w:tbl>
      <w:tblPr>
        <w:tblStyle w:val="TableGrid"/>
        <w:tblW w:w="14406" w:type="dxa"/>
        <w:tblLook w:val="04A0" w:firstRow="1" w:lastRow="0" w:firstColumn="1" w:lastColumn="0" w:noHBand="0" w:noVBand="1"/>
      </w:tblPr>
      <w:tblGrid>
        <w:gridCol w:w="1036"/>
        <w:gridCol w:w="13370"/>
      </w:tblGrid>
      <w:tr w:rsidR="005C1753" w:rsidRPr="00B26CDE" w14:paraId="4234AB45" w14:textId="77777777" w:rsidTr="00F53042">
        <w:tc>
          <w:tcPr>
            <w:tcW w:w="1036" w:type="dxa"/>
            <w:vMerge w:val="restart"/>
          </w:tcPr>
          <w:p w14:paraId="156328E2" w14:textId="61E2B53F" w:rsidR="005C1753" w:rsidRPr="003F5B3C" w:rsidRDefault="005736A5" w:rsidP="005736A5">
            <w:pPr>
              <w:tabs>
                <w:tab w:val="left" w:pos="360"/>
              </w:tabs>
              <w:ind w:left="360"/>
              <w:jc w:val="center"/>
              <w:rPr>
                <w:rFonts w:eastAsia="Arial Unicode MS"/>
                <w:b/>
                <w:bCs/>
                <w:sz w:val="18"/>
                <w:szCs w:val="18"/>
                <w:lang w:val="ro-MD"/>
              </w:rPr>
            </w:pPr>
            <w:r w:rsidRPr="003F5B3C">
              <w:rPr>
                <w:rFonts w:eastAsia="Arial Unicode MS"/>
                <w:b/>
                <w:bCs/>
                <w:sz w:val="18"/>
                <w:szCs w:val="18"/>
                <w:lang w:val="ro-MD"/>
              </w:rPr>
              <w:t>1</w:t>
            </w:r>
          </w:p>
        </w:tc>
        <w:tc>
          <w:tcPr>
            <w:tcW w:w="13370" w:type="dxa"/>
          </w:tcPr>
          <w:p w14:paraId="4CA071A5" w14:textId="79606CB9" w:rsidR="005C1753" w:rsidRPr="003F5B3C" w:rsidRDefault="005C1753" w:rsidP="00100467">
            <w:pPr>
              <w:tabs>
                <w:tab w:val="left" w:pos="288"/>
              </w:tabs>
              <w:jc w:val="both"/>
              <w:rPr>
                <w:b/>
                <w:bCs/>
                <w:sz w:val="18"/>
                <w:szCs w:val="18"/>
                <w:lang w:val="ro-MD"/>
              </w:rPr>
            </w:pPr>
            <w:r w:rsidRPr="003F5B3C">
              <w:rPr>
                <w:rFonts w:eastAsia="Arial Unicode MS"/>
                <w:b/>
                <w:bCs/>
                <w:sz w:val="18"/>
                <w:szCs w:val="18"/>
                <w:lang w:val="ro-MD"/>
              </w:rPr>
              <w:t>Titlul actului Uniunii Europene, inclusiv ce</w:t>
            </w:r>
            <w:r w:rsidR="005736A5" w:rsidRPr="003F5B3C">
              <w:rPr>
                <w:rFonts w:eastAsia="Arial Unicode MS"/>
                <w:b/>
                <w:bCs/>
                <w:sz w:val="18"/>
                <w:szCs w:val="18"/>
                <w:lang w:val="ro-MD"/>
              </w:rPr>
              <w:t>a</w:t>
            </w:r>
            <w:r w:rsidRPr="003F5B3C">
              <w:rPr>
                <w:rFonts w:eastAsia="Arial Unicode MS"/>
                <w:b/>
                <w:bCs/>
                <w:sz w:val="18"/>
                <w:szCs w:val="18"/>
                <w:lang w:val="ro-MD"/>
              </w:rPr>
              <w:t xml:space="preserve"> mai recent</w:t>
            </w:r>
            <w:r w:rsidR="005736A5" w:rsidRPr="003F5B3C">
              <w:rPr>
                <w:rFonts w:eastAsia="Arial Unicode MS"/>
                <w:b/>
                <w:bCs/>
                <w:sz w:val="18"/>
                <w:szCs w:val="18"/>
                <w:lang w:val="ro-MD"/>
              </w:rPr>
              <w:t>ă modificare, nr.CELEX</w:t>
            </w:r>
          </w:p>
        </w:tc>
      </w:tr>
      <w:tr w:rsidR="005C1753" w:rsidRPr="00B26CDE" w14:paraId="22BB6EA7" w14:textId="77777777" w:rsidTr="00F53042">
        <w:trPr>
          <w:trHeight w:val="750"/>
        </w:trPr>
        <w:tc>
          <w:tcPr>
            <w:tcW w:w="1036" w:type="dxa"/>
            <w:vMerge/>
          </w:tcPr>
          <w:p w14:paraId="3FEFA6A8" w14:textId="77777777" w:rsidR="005C1753" w:rsidRPr="003F5B3C" w:rsidRDefault="005C1753" w:rsidP="005736A5">
            <w:pPr>
              <w:tabs>
                <w:tab w:val="left" w:pos="360"/>
              </w:tabs>
              <w:spacing w:before="240" w:after="240"/>
              <w:jc w:val="center"/>
              <w:rPr>
                <w:rFonts w:eastAsia="Arial Unicode MS"/>
                <w:bCs/>
                <w:sz w:val="18"/>
                <w:szCs w:val="18"/>
                <w:lang w:val="ro-MD"/>
              </w:rPr>
            </w:pPr>
          </w:p>
        </w:tc>
        <w:tc>
          <w:tcPr>
            <w:tcW w:w="13370" w:type="dxa"/>
            <w:vAlign w:val="center"/>
          </w:tcPr>
          <w:p w14:paraId="5F28290B" w14:textId="18E7BDFB" w:rsidR="005C1753" w:rsidRPr="003F5B3C" w:rsidRDefault="00100467" w:rsidP="00100467">
            <w:pPr>
              <w:pStyle w:val="title-doc-first"/>
              <w:autoSpaceDE w:val="0"/>
              <w:autoSpaceDN w:val="0"/>
              <w:adjustRightInd w:val="0"/>
              <w:spacing w:before="0"/>
              <w:jc w:val="both"/>
              <w:rPr>
                <w:b w:val="0"/>
                <w:bCs w:val="0"/>
                <w:sz w:val="18"/>
                <w:szCs w:val="18"/>
                <w:lang w:val="ro-MD"/>
              </w:rPr>
            </w:pPr>
            <w:r w:rsidRPr="003F5B3C">
              <w:rPr>
                <w:b w:val="0"/>
                <w:bCs w:val="0"/>
                <w:sz w:val="18"/>
                <w:szCs w:val="18"/>
              </w:rPr>
              <w:t>Regulamentul nr. 575/2013 al Parlamentului European și al Consiliului din 26 iunie 2013 privind cerințele prudențiale pentru instituțiile de credit și de modificare a Regulamentului (UE) nr. 648/2012, publicat în Jurnalul Oficial al Uniuni Europene L 176 din 27 iunie 2013, CELEX: 32013R0575, așa cum a fost modificat ultima dată prin Regulamentul (UE) 2023/2869 al Parlamentului European și al Consiliului din 13 decembrie 2023</w:t>
            </w:r>
          </w:p>
        </w:tc>
      </w:tr>
      <w:tr w:rsidR="005C1753" w:rsidRPr="00B26CDE" w14:paraId="4C1AE693" w14:textId="77777777" w:rsidTr="00F53042">
        <w:tc>
          <w:tcPr>
            <w:tcW w:w="1036" w:type="dxa"/>
            <w:vMerge w:val="restart"/>
          </w:tcPr>
          <w:p w14:paraId="17604346" w14:textId="425F04A1" w:rsidR="005C1753" w:rsidRPr="003F5B3C" w:rsidRDefault="005736A5" w:rsidP="005736A5">
            <w:pPr>
              <w:pStyle w:val="ListParagraph"/>
              <w:tabs>
                <w:tab w:val="left" w:pos="736"/>
              </w:tabs>
              <w:jc w:val="center"/>
              <w:rPr>
                <w:b/>
                <w:bCs/>
                <w:sz w:val="18"/>
                <w:szCs w:val="18"/>
                <w:lang w:val="ro-MD"/>
              </w:rPr>
            </w:pPr>
            <w:r w:rsidRPr="003F5B3C">
              <w:rPr>
                <w:b/>
                <w:bCs/>
                <w:sz w:val="18"/>
                <w:szCs w:val="18"/>
                <w:lang w:val="ro-MD"/>
              </w:rPr>
              <w:t>2</w:t>
            </w:r>
          </w:p>
        </w:tc>
        <w:tc>
          <w:tcPr>
            <w:tcW w:w="13370" w:type="dxa"/>
          </w:tcPr>
          <w:p w14:paraId="0B90C67A" w14:textId="4CFAD522" w:rsidR="005C1753" w:rsidRPr="003F5B3C" w:rsidRDefault="005C1753" w:rsidP="00100467">
            <w:pPr>
              <w:pStyle w:val="ListParagraph"/>
              <w:tabs>
                <w:tab w:val="left" w:pos="284"/>
              </w:tabs>
              <w:ind w:left="0"/>
              <w:jc w:val="both"/>
              <w:rPr>
                <w:b/>
                <w:bCs/>
                <w:sz w:val="18"/>
                <w:szCs w:val="18"/>
                <w:lang w:val="ro-MD"/>
              </w:rPr>
            </w:pPr>
            <w:r w:rsidRPr="003F5B3C">
              <w:rPr>
                <w:b/>
                <w:bCs/>
                <w:sz w:val="18"/>
                <w:szCs w:val="18"/>
                <w:lang w:val="ro-MD"/>
              </w:rPr>
              <w:t>Titlul proiectului de act normativ naţional</w:t>
            </w:r>
          </w:p>
        </w:tc>
      </w:tr>
      <w:tr w:rsidR="005C1753" w:rsidRPr="00B26CDE" w14:paraId="38DA1561" w14:textId="77777777" w:rsidTr="00F53042">
        <w:tc>
          <w:tcPr>
            <w:tcW w:w="1036" w:type="dxa"/>
            <w:vMerge/>
          </w:tcPr>
          <w:p w14:paraId="4D90D7E6" w14:textId="77777777" w:rsidR="005C1753" w:rsidRPr="003F5B3C" w:rsidRDefault="005C1753" w:rsidP="005736A5">
            <w:pPr>
              <w:tabs>
                <w:tab w:val="left" w:pos="736"/>
              </w:tabs>
              <w:jc w:val="center"/>
              <w:rPr>
                <w:b/>
                <w:sz w:val="18"/>
                <w:szCs w:val="18"/>
                <w:u w:val="single"/>
                <w:lang w:val="ro-MD"/>
              </w:rPr>
            </w:pPr>
          </w:p>
        </w:tc>
        <w:tc>
          <w:tcPr>
            <w:tcW w:w="13370" w:type="dxa"/>
          </w:tcPr>
          <w:p w14:paraId="0EADB3DE" w14:textId="23056961" w:rsidR="005C1753" w:rsidRPr="003F5B3C" w:rsidRDefault="00100467" w:rsidP="00643F80">
            <w:pPr>
              <w:jc w:val="both"/>
              <w:rPr>
                <w:bCs/>
                <w:sz w:val="18"/>
                <w:szCs w:val="18"/>
                <w:lang w:val="ro-MD"/>
              </w:rPr>
            </w:pPr>
            <w:r w:rsidRPr="003F5B3C">
              <w:rPr>
                <w:bCs/>
                <w:sz w:val="18"/>
                <w:szCs w:val="18"/>
                <w:lang w:val="ro-MD"/>
              </w:rPr>
              <w:t>Proiectul Hotărârii Comitetului executiv al Băncii Naționale a Moldovei „</w:t>
            </w:r>
            <w:r w:rsidR="00643F80" w:rsidRPr="003F5B3C">
              <w:rPr>
                <w:bCs/>
                <w:sz w:val="18"/>
                <w:szCs w:val="18"/>
                <w:lang w:val="ro-MD"/>
              </w:rPr>
              <w:t>Pentru aprobarea Regulamentului cu privire la tratamentul riscului de ajustare a evaluării creditului pentru bănci</w:t>
            </w:r>
            <w:r w:rsidRPr="003F5B3C">
              <w:rPr>
                <w:bCs/>
                <w:sz w:val="18"/>
                <w:szCs w:val="18"/>
                <w:lang w:val="ro-MD"/>
              </w:rPr>
              <w:t xml:space="preserve">” </w:t>
            </w:r>
          </w:p>
        </w:tc>
      </w:tr>
      <w:tr w:rsidR="005C1753" w:rsidRPr="00B26CDE" w14:paraId="52E95686" w14:textId="77777777" w:rsidTr="00F53042">
        <w:tc>
          <w:tcPr>
            <w:tcW w:w="1036" w:type="dxa"/>
          </w:tcPr>
          <w:p w14:paraId="42781153" w14:textId="33DBF68F" w:rsidR="005C1753" w:rsidRPr="003F5B3C" w:rsidRDefault="005736A5" w:rsidP="005736A5">
            <w:pPr>
              <w:pStyle w:val="ListParagraph"/>
              <w:tabs>
                <w:tab w:val="left" w:pos="736"/>
              </w:tabs>
              <w:jc w:val="center"/>
              <w:rPr>
                <w:b/>
                <w:bCs/>
                <w:sz w:val="18"/>
                <w:szCs w:val="18"/>
                <w:lang w:val="ro-MD"/>
              </w:rPr>
            </w:pPr>
            <w:r w:rsidRPr="003F5B3C">
              <w:rPr>
                <w:b/>
                <w:bCs/>
                <w:sz w:val="18"/>
                <w:szCs w:val="18"/>
                <w:lang w:val="ro-MD"/>
              </w:rPr>
              <w:t>3</w:t>
            </w:r>
          </w:p>
        </w:tc>
        <w:tc>
          <w:tcPr>
            <w:tcW w:w="13370" w:type="dxa"/>
          </w:tcPr>
          <w:p w14:paraId="2172F9E4" w14:textId="6D019F85" w:rsidR="005C1753" w:rsidRPr="003F5B3C" w:rsidRDefault="005C1753" w:rsidP="00100467">
            <w:pPr>
              <w:jc w:val="both"/>
              <w:rPr>
                <w:sz w:val="18"/>
                <w:szCs w:val="18"/>
                <w:lang w:val="ro-MD"/>
              </w:rPr>
            </w:pPr>
            <w:r w:rsidRPr="003F5B3C">
              <w:rPr>
                <w:b/>
                <w:bCs/>
                <w:sz w:val="18"/>
                <w:szCs w:val="18"/>
                <w:lang w:val="ro-MD"/>
              </w:rPr>
              <w:t xml:space="preserve">Gradul general de compatibilitate </w:t>
            </w:r>
            <w:r w:rsidR="005736A5" w:rsidRPr="003F5B3C">
              <w:rPr>
                <w:b/>
                <w:bCs/>
                <w:sz w:val="18"/>
                <w:szCs w:val="18"/>
                <w:lang w:val="ro-MD"/>
              </w:rPr>
              <w:t xml:space="preserve">– </w:t>
            </w:r>
            <w:r w:rsidRPr="003F5B3C">
              <w:rPr>
                <w:rFonts w:eastAsia="MS Mincho"/>
                <w:sz w:val="18"/>
                <w:szCs w:val="18"/>
                <w:lang w:val="ro-MD"/>
              </w:rPr>
              <w:t>parţial compatibil</w:t>
            </w:r>
          </w:p>
        </w:tc>
      </w:tr>
      <w:tr w:rsidR="005736A5" w:rsidRPr="00B26CDE" w14:paraId="2013D9CD" w14:textId="77777777" w:rsidTr="00F53042">
        <w:tc>
          <w:tcPr>
            <w:tcW w:w="1036" w:type="dxa"/>
          </w:tcPr>
          <w:p w14:paraId="085A466A" w14:textId="31787F35" w:rsidR="005736A5" w:rsidRPr="003F5B3C" w:rsidRDefault="005736A5" w:rsidP="005736A5">
            <w:pPr>
              <w:pStyle w:val="ListParagraph"/>
              <w:tabs>
                <w:tab w:val="left" w:pos="736"/>
              </w:tabs>
              <w:jc w:val="center"/>
              <w:rPr>
                <w:b/>
                <w:bCs/>
                <w:sz w:val="18"/>
                <w:szCs w:val="18"/>
                <w:lang w:val="ro-MD"/>
              </w:rPr>
            </w:pPr>
            <w:r w:rsidRPr="003F5B3C">
              <w:rPr>
                <w:b/>
                <w:bCs/>
                <w:sz w:val="18"/>
                <w:szCs w:val="18"/>
                <w:lang w:val="ro-MD"/>
              </w:rPr>
              <w:t>4</w:t>
            </w:r>
          </w:p>
        </w:tc>
        <w:tc>
          <w:tcPr>
            <w:tcW w:w="13370" w:type="dxa"/>
          </w:tcPr>
          <w:p w14:paraId="0A4BFC1F" w14:textId="3D4C9458" w:rsidR="005736A5" w:rsidRPr="003F5B3C" w:rsidRDefault="005736A5" w:rsidP="00100467">
            <w:pPr>
              <w:jc w:val="both"/>
              <w:rPr>
                <w:b/>
                <w:bCs/>
                <w:sz w:val="18"/>
                <w:szCs w:val="18"/>
                <w:lang w:val="ro-MD"/>
              </w:rPr>
            </w:pPr>
            <w:r w:rsidRPr="003F5B3C">
              <w:rPr>
                <w:b/>
                <w:bCs/>
                <w:sz w:val="18"/>
                <w:szCs w:val="18"/>
                <w:lang w:val="ro-MD"/>
              </w:rPr>
              <w:t xml:space="preserve">Autoritatea/persoana responsabilă </w:t>
            </w:r>
            <w:r w:rsidRPr="003F5B3C">
              <w:rPr>
                <w:sz w:val="18"/>
                <w:szCs w:val="18"/>
                <w:lang w:val="ro-MD"/>
              </w:rPr>
              <w:t>– Banca Națională a Moldovei</w:t>
            </w:r>
          </w:p>
        </w:tc>
      </w:tr>
      <w:tr w:rsidR="005736A5" w:rsidRPr="003F5B3C" w14:paraId="4B5F66BF" w14:textId="77777777" w:rsidTr="00F53042">
        <w:tc>
          <w:tcPr>
            <w:tcW w:w="1036" w:type="dxa"/>
          </w:tcPr>
          <w:p w14:paraId="419FF102" w14:textId="119E3441" w:rsidR="005736A5" w:rsidRPr="003F5B3C" w:rsidRDefault="005736A5" w:rsidP="005736A5">
            <w:pPr>
              <w:pStyle w:val="ListParagraph"/>
              <w:tabs>
                <w:tab w:val="left" w:pos="736"/>
              </w:tabs>
              <w:jc w:val="center"/>
              <w:rPr>
                <w:b/>
                <w:bCs/>
                <w:sz w:val="18"/>
                <w:szCs w:val="18"/>
                <w:lang w:val="ro-MD"/>
              </w:rPr>
            </w:pPr>
            <w:r w:rsidRPr="003F5B3C">
              <w:rPr>
                <w:b/>
                <w:bCs/>
                <w:sz w:val="18"/>
                <w:szCs w:val="18"/>
                <w:lang w:val="ro-MD"/>
              </w:rPr>
              <w:t>5</w:t>
            </w:r>
          </w:p>
        </w:tc>
        <w:tc>
          <w:tcPr>
            <w:tcW w:w="13370" w:type="dxa"/>
          </w:tcPr>
          <w:p w14:paraId="2FEDA854" w14:textId="6F8565B8" w:rsidR="005736A5" w:rsidRPr="003F5B3C" w:rsidRDefault="005736A5" w:rsidP="00100467">
            <w:pPr>
              <w:jc w:val="both"/>
              <w:rPr>
                <w:b/>
                <w:bCs/>
                <w:sz w:val="18"/>
                <w:szCs w:val="18"/>
                <w:lang w:val="ro-MD"/>
              </w:rPr>
            </w:pPr>
            <w:r w:rsidRPr="003F5B3C">
              <w:rPr>
                <w:b/>
                <w:bCs/>
                <w:sz w:val="18"/>
                <w:szCs w:val="18"/>
                <w:lang w:val="ro-MD"/>
              </w:rPr>
              <w:t xml:space="preserve">Data întocmirii/actualizării </w:t>
            </w:r>
            <w:r w:rsidRPr="003F5B3C">
              <w:rPr>
                <w:sz w:val="18"/>
                <w:szCs w:val="18"/>
                <w:lang w:val="ro-MD"/>
              </w:rPr>
              <w:t xml:space="preserve">– </w:t>
            </w:r>
            <w:r w:rsidR="000876C4">
              <w:rPr>
                <w:sz w:val="18"/>
                <w:szCs w:val="18"/>
                <w:lang w:val="ro-MD"/>
              </w:rPr>
              <w:t>04</w:t>
            </w:r>
            <w:r w:rsidRPr="003F5B3C">
              <w:rPr>
                <w:sz w:val="18"/>
                <w:szCs w:val="18"/>
                <w:lang w:val="ro-MD"/>
              </w:rPr>
              <w:t>.0</w:t>
            </w:r>
            <w:r w:rsidR="000876C4">
              <w:rPr>
                <w:sz w:val="18"/>
                <w:szCs w:val="18"/>
                <w:lang w:val="ro-MD"/>
              </w:rPr>
              <w:t>6</w:t>
            </w:r>
            <w:r w:rsidRPr="003F5B3C">
              <w:rPr>
                <w:sz w:val="18"/>
                <w:szCs w:val="18"/>
                <w:lang w:val="ro-MD"/>
              </w:rPr>
              <w:t>.202</w:t>
            </w:r>
            <w:r w:rsidR="00643F80" w:rsidRPr="003F5B3C">
              <w:rPr>
                <w:sz w:val="18"/>
                <w:szCs w:val="18"/>
                <w:lang w:val="ro-MD"/>
              </w:rPr>
              <w:t>5</w:t>
            </w:r>
          </w:p>
        </w:tc>
      </w:tr>
    </w:tbl>
    <w:p w14:paraId="0EBC9932" w14:textId="77777777" w:rsidR="005F3A73" w:rsidRPr="003F5B3C" w:rsidRDefault="005F3A73" w:rsidP="005F3A73">
      <w:pPr>
        <w:jc w:val="both"/>
        <w:rPr>
          <w:vanish/>
          <w:sz w:val="18"/>
          <w:szCs w:val="18"/>
          <w:lang w:val="ro-MD"/>
        </w:rPr>
      </w:pPr>
    </w:p>
    <w:p w14:paraId="744DD180" w14:textId="77777777" w:rsidR="005F3A73" w:rsidRPr="003F5B3C" w:rsidRDefault="005F3A73" w:rsidP="005F3A73">
      <w:pPr>
        <w:jc w:val="both"/>
        <w:rPr>
          <w:vanish/>
          <w:sz w:val="18"/>
          <w:szCs w:val="18"/>
          <w:lang w:val="ro-MD"/>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685"/>
        <w:gridCol w:w="1229"/>
        <w:gridCol w:w="5292"/>
      </w:tblGrid>
      <w:tr w:rsidR="001A4DE8" w:rsidRPr="002460E2" w14:paraId="0194AA20" w14:textId="77777777" w:rsidTr="003F5B3C">
        <w:trPr>
          <w:trHeight w:val="723"/>
          <w:tblHeader/>
        </w:trPr>
        <w:tc>
          <w:tcPr>
            <w:tcW w:w="4253" w:type="dxa"/>
          </w:tcPr>
          <w:p w14:paraId="264A8A14" w14:textId="66DB991C" w:rsidR="001A4DE8" w:rsidRPr="002460E2" w:rsidRDefault="001A4DE8" w:rsidP="005F3A73">
            <w:pPr>
              <w:jc w:val="both"/>
              <w:rPr>
                <w:b/>
                <w:bCs/>
                <w:sz w:val="18"/>
                <w:szCs w:val="18"/>
                <w:lang w:val="ro-MD"/>
              </w:rPr>
            </w:pPr>
            <w:r w:rsidRPr="002460E2">
              <w:rPr>
                <w:b/>
                <w:bCs/>
                <w:sz w:val="18"/>
                <w:szCs w:val="18"/>
                <w:lang w:val="ro-MD"/>
              </w:rPr>
              <w:t>Actul Uniunii Europene</w:t>
            </w:r>
          </w:p>
        </w:tc>
        <w:tc>
          <w:tcPr>
            <w:tcW w:w="3685" w:type="dxa"/>
          </w:tcPr>
          <w:p w14:paraId="35F32FCF" w14:textId="3FA3AFDC" w:rsidR="001A4DE8" w:rsidRPr="002460E2" w:rsidRDefault="001A4DE8" w:rsidP="005F3A73">
            <w:pPr>
              <w:jc w:val="both"/>
              <w:rPr>
                <w:bCs/>
                <w:sz w:val="18"/>
                <w:szCs w:val="18"/>
                <w:lang w:val="ro-MD"/>
              </w:rPr>
            </w:pPr>
            <w:r w:rsidRPr="002460E2">
              <w:rPr>
                <w:b/>
                <w:bCs/>
                <w:sz w:val="18"/>
                <w:szCs w:val="18"/>
                <w:lang w:val="ro-MD"/>
              </w:rPr>
              <w:t>Proiectul de act normativ naţional</w:t>
            </w:r>
          </w:p>
        </w:tc>
        <w:tc>
          <w:tcPr>
            <w:tcW w:w="1229" w:type="dxa"/>
          </w:tcPr>
          <w:p w14:paraId="4D7DEA05" w14:textId="628B8B29" w:rsidR="001A4DE8" w:rsidRPr="002460E2" w:rsidRDefault="001A4DE8" w:rsidP="003F5B3C">
            <w:pPr>
              <w:ind w:left="-84" w:right="-112"/>
              <w:rPr>
                <w:b/>
                <w:bCs/>
                <w:sz w:val="18"/>
                <w:szCs w:val="18"/>
                <w:lang w:val="ro-MD"/>
              </w:rPr>
            </w:pPr>
            <w:r w:rsidRPr="002460E2">
              <w:rPr>
                <w:b/>
                <w:bCs/>
                <w:sz w:val="18"/>
                <w:szCs w:val="18"/>
                <w:lang w:val="ro-MD"/>
              </w:rPr>
              <w:t>Gradul de compatibilitate</w:t>
            </w:r>
          </w:p>
        </w:tc>
        <w:tc>
          <w:tcPr>
            <w:tcW w:w="5292" w:type="dxa"/>
          </w:tcPr>
          <w:p w14:paraId="5970B66C" w14:textId="5D20B4B2" w:rsidR="001A4DE8" w:rsidRPr="002460E2" w:rsidRDefault="001A4DE8" w:rsidP="005F3A73">
            <w:pPr>
              <w:jc w:val="both"/>
              <w:rPr>
                <w:b/>
                <w:bCs/>
                <w:sz w:val="18"/>
                <w:szCs w:val="18"/>
                <w:lang w:val="ro-MD"/>
              </w:rPr>
            </w:pPr>
            <w:r w:rsidRPr="002460E2">
              <w:rPr>
                <w:b/>
                <w:bCs/>
                <w:sz w:val="18"/>
                <w:szCs w:val="18"/>
                <w:lang w:val="ro-MD"/>
              </w:rPr>
              <w:t>Observaţiile</w:t>
            </w:r>
          </w:p>
        </w:tc>
      </w:tr>
      <w:tr w:rsidR="001A4DE8" w:rsidRPr="002460E2" w14:paraId="51A90453" w14:textId="77777777" w:rsidTr="003F5B3C">
        <w:trPr>
          <w:tblHeader/>
        </w:trPr>
        <w:tc>
          <w:tcPr>
            <w:tcW w:w="4253" w:type="dxa"/>
          </w:tcPr>
          <w:p w14:paraId="5DE61B1A" w14:textId="4655981F" w:rsidR="001A4DE8" w:rsidRPr="002460E2" w:rsidRDefault="001A4DE8" w:rsidP="005F3A73">
            <w:pPr>
              <w:pStyle w:val="BodyTextIndent"/>
              <w:spacing w:before="0"/>
              <w:ind w:firstLine="0"/>
              <w:rPr>
                <w:rFonts w:eastAsia="MS Mincho"/>
                <w:b/>
                <w:sz w:val="18"/>
                <w:szCs w:val="18"/>
                <w:lang w:val="ro-MD"/>
              </w:rPr>
            </w:pPr>
            <w:r w:rsidRPr="002460E2">
              <w:rPr>
                <w:rFonts w:eastAsia="MS Mincho"/>
                <w:b/>
                <w:sz w:val="18"/>
                <w:szCs w:val="18"/>
                <w:lang w:val="ro-MD"/>
              </w:rPr>
              <w:t>6</w:t>
            </w:r>
          </w:p>
        </w:tc>
        <w:tc>
          <w:tcPr>
            <w:tcW w:w="3685" w:type="dxa"/>
          </w:tcPr>
          <w:p w14:paraId="2DA2B260" w14:textId="6E83FECC" w:rsidR="001A4DE8" w:rsidRPr="002460E2" w:rsidRDefault="001A4DE8" w:rsidP="005F3A73">
            <w:pPr>
              <w:pStyle w:val="PlainText"/>
              <w:jc w:val="both"/>
              <w:rPr>
                <w:rFonts w:ascii="Times New Roman" w:eastAsia="MS Mincho" w:hAnsi="Times New Roman" w:cs="Times New Roman"/>
                <w:b/>
                <w:sz w:val="18"/>
                <w:szCs w:val="18"/>
                <w:lang w:val="ro-MD"/>
              </w:rPr>
            </w:pPr>
            <w:r w:rsidRPr="002460E2">
              <w:rPr>
                <w:rFonts w:ascii="Times New Roman" w:eastAsia="MS Mincho" w:hAnsi="Times New Roman" w:cs="Times New Roman"/>
                <w:b/>
                <w:sz w:val="18"/>
                <w:szCs w:val="18"/>
                <w:lang w:val="ro-MD"/>
              </w:rPr>
              <w:t>7</w:t>
            </w:r>
          </w:p>
        </w:tc>
        <w:tc>
          <w:tcPr>
            <w:tcW w:w="1229" w:type="dxa"/>
          </w:tcPr>
          <w:p w14:paraId="55A1C645" w14:textId="2ABE9273" w:rsidR="001A4DE8" w:rsidRPr="002460E2" w:rsidRDefault="001A4DE8" w:rsidP="005F3A73">
            <w:pPr>
              <w:jc w:val="both"/>
              <w:rPr>
                <w:b/>
                <w:sz w:val="18"/>
                <w:szCs w:val="18"/>
                <w:lang w:val="ro-MD"/>
              </w:rPr>
            </w:pPr>
            <w:r w:rsidRPr="002460E2">
              <w:rPr>
                <w:b/>
                <w:sz w:val="18"/>
                <w:szCs w:val="18"/>
                <w:lang w:val="ro-MD"/>
              </w:rPr>
              <w:t>8</w:t>
            </w:r>
          </w:p>
        </w:tc>
        <w:tc>
          <w:tcPr>
            <w:tcW w:w="5292" w:type="dxa"/>
            <w:tcBorders>
              <w:bottom w:val="single" w:sz="4" w:space="0" w:color="auto"/>
            </w:tcBorders>
          </w:tcPr>
          <w:p w14:paraId="49B7B2E6" w14:textId="1AAC2CCF" w:rsidR="001A4DE8" w:rsidRPr="002460E2" w:rsidRDefault="001A4DE8" w:rsidP="005F3A73">
            <w:pPr>
              <w:jc w:val="both"/>
              <w:rPr>
                <w:b/>
                <w:sz w:val="18"/>
                <w:szCs w:val="18"/>
                <w:lang w:val="ro-MD"/>
              </w:rPr>
            </w:pPr>
            <w:r w:rsidRPr="002460E2">
              <w:rPr>
                <w:b/>
                <w:sz w:val="18"/>
                <w:szCs w:val="18"/>
                <w:lang w:val="ro-MD"/>
              </w:rPr>
              <w:t>9</w:t>
            </w:r>
          </w:p>
        </w:tc>
      </w:tr>
      <w:tr w:rsidR="001A4DE8" w:rsidRPr="002460E2" w14:paraId="47CE0C8A" w14:textId="77777777" w:rsidTr="003F5B3C">
        <w:tc>
          <w:tcPr>
            <w:tcW w:w="4253" w:type="dxa"/>
            <w:vAlign w:val="center"/>
          </w:tcPr>
          <w:p w14:paraId="17113D3D" w14:textId="18773F39" w:rsidR="001A4DE8" w:rsidRPr="002460E2" w:rsidRDefault="001A4DE8" w:rsidP="00643F80">
            <w:pPr>
              <w:rPr>
                <w:b/>
                <w:sz w:val="18"/>
                <w:szCs w:val="18"/>
                <w:lang w:val="ro-MD"/>
              </w:rPr>
            </w:pPr>
            <w:r w:rsidRPr="002460E2">
              <w:rPr>
                <w:b/>
                <w:bCs/>
                <w:sz w:val="18"/>
                <w:szCs w:val="18"/>
                <w:lang w:val="en-US"/>
              </w:rPr>
              <w:t>Regulamentul nr. 575/2013 al Parlamentului European și al Consiliului din 26 iunie 2013 privind cerințele prudențiale pentru instituțiile de credit și de modificare a Regulamentului (UE) nr. 648/2012, publicat în Jurnalul Oficial al Uniuni Europene L 176 din 27 iunie 2013, CELEX: 32013R0575, așa cum a fost modificat ultima dată prin Regulamentul (UE) 2023/2869 al Parlamentului European și al Consiliului din 13 decembrie 2023</w:t>
            </w:r>
          </w:p>
        </w:tc>
        <w:tc>
          <w:tcPr>
            <w:tcW w:w="3685" w:type="dxa"/>
            <w:shd w:val="clear" w:color="auto" w:fill="auto"/>
          </w:tcPr>
          <w:p w14:paraId="2A80CA2E" w14:textId="4C56F137" w:rsidR="001A4DE8" w:rsidRPr="002460E2" w:rsidRDefault="001A4DE8" w:rsidP="00643F80">
            <w:pPr>
              <w:rPr>
                <w:b/>
                <w:bCs/>
                <w:sz w:val="18"/>
                <w:szCs w:val="18"/>
                <w:lang w:val="ro-MD"/>
              </w:rPr>
            </w:pPr>
            <w:r w:rsidRPr="002460E2">
              <w:rPr>
                <w:b/>
                <w:bCs/>
                <w:sz w:val="18"/>
                <w:szCs w:val="18"/>
                <w:lang w:val="ro-MD"/>
              </w:rPr>
              <w:t xml:space="preserve">Proiectul Hotărârii Comitetului executiv al Băncii Naționale a Moldovei </w:t>
            </w:r>
            <w:r w:rsidR="00643F80" w:rsidRPr="002460E2">
              <w:rPr>
                <w:b/>
                <w:bCs/>
                <w:sz w:val="18"/>
                <w:szCs w:val="18"/>
                <w:lang w:val="ro-MD"/>
              </w:rPr>
              <w:t>„Pentru aprobarea Regulamentului cu privire la tratamentul riscului de ajustare a evaluării creditului pentru bănci”</w:t>
            </w:r>
            <w:r w:rsidRPr="002460E2">
              <w:rPr>
                <w:b/>
                <w:bCs/>
                <w:color w:val="000000"/>
                <w:sz w:val="18"/>
                <w:szCs w:val="18"/>
                <w:lang w:val="ro-MD"/>
              </w:rPr>
              <w:t xml:space="preserve"> </w:t>
            </w:r>
          </w:p>
        </w:tc>
        <w:tc>
          <w:tcPr>
            <w:tcW w:w="1229" w:type="dxa"/>
          </w:tcPr>
          <w:p w14:paraId="29D9153D" w14:textId="77777777" w:rsidR="001A4DE8" w:rsidRPr="002460E2" w:rsidRDefault="001A4DE8" w:rsidP="00B93C1C">
            <w:pPr>
              <w:jc w:val="both"/>
              <w:rPr>
                <w:b/>
                <w:strike/>
                <w:sz w:val="18"/>
                <w:szCs w:val="18"/>
                <w:lang w:val="ro-MD"/>
              </w:rPr>
            </w:pPr>
          </w:p>
        </w:tc>
        <w:tc>
          <w:tcPr>
            <w:tcW w:w="5292" w:type="dxa"/>
            <w:tcBorders>
              <w:top w:val="single" w:sz="4" w:space="0" w:color="auto"/>
              <w:bottom w:val="single" w:sz="4" w:space="0" w:color="auto"/>
            </w:tcBorders>
          </w:tcPr>
          <w:p w14:paraId="470CB7BC" w14:textId="77777777" w:rsidR="001A4DE8" w:rsidRPr="002460E2" w:rsidRDefault="001A4DE8" w:rsidP="00B93C1C">
            <w:pPr>
              <w:jc w:val="both"/>
              <w:rPr>
                <w:strike/>
                <w:sz w:val="18"/>
                <w:szCs w:val="18"/>
                <w:lang w:val="ro-MD"/>
              </w:rPr>
            </w:pPr>
          </w:p>
        </w:tc>
      </w:tr>
      <w:tr w:rsidR="001A4DE8" w:rsidRPr="002460E2" w14:paraId="61B5325F" w14:textId="77777777" w:rsidTr="003F5B3C">
        <w:trPr>
          <w:trHeight w:val="918"/>
        </w:trPr>
        <w:tc>
          <w:tcPr>
            <w:tcW w:w="4253" w:type="dxa"/>
          </w:tcPr>
          <w:p w14:paraId="12D4588E" w14:textId="77777777" w:rsidR="00643F80" w:rsidRPr="002460E2" w:rsidRDefault="00643F80" w:rsidP="00643F80">
            <w:pPr>
              <w:pStyle w:val="CM4"/>
              <w:spacing w:after="120"/>
              <w:jc w:val="both"/>
              <w:rPr>
                <w:rFonts w:ascii="Times New Roman" w:hAnsi="Times New Roman"/>
                <w:b/>
                <w:sz w:val="18"/>
                <w:szCs w:val="18"/>
                <w:lang w:val="ro-MD"/>
              </w:rPr>
            </w:pPr>
            <w:r w:rsidRPr="002460E2">
              <w:rPr>
                <w:rFonts w:ascii="Times New Roman" w:hAnsi="Times New Roman"/>
                <w:b/>
                <w:sz w:val="18"/>
                <w:szCs w:val="18"/>
                <w:lang w:val="ro-MD"/>
              </w:rPr>
              <w:t>TITLUL VI</w:t>
            </w:r>
          </w:p>
          <w:p w14:paraId="7755EF50" w14:textId="77777777" w:rsidR="00643F80" w:rsidRPr="002460E2" w:rsidRDefault="00643F80" w:rsidP="00643F80">
            <w:pPr>
              <w:pStyle w:val="CM4"/>
              <w:spacing w:after="120"/>
              <w:jc w:val="both"/>
              <w:rPr>
                <w:rFonts w:ascii="Times New Roman" w:hAnsi="Times New Roman"/>
                <w:b/>
                <w:sz w:val="18"/>
                <w:szCs w:val="18"/>
                <w:lang w:val="ro-MD"/>
              </w:rPr>
            </w:pPr>
            <w:r w:rsidRPr="002460E2">
              <w:rPr>
                <w:rFonts w:ascii="Times New Roman" w:hAnsi="Times New Roman"/>
                <w:b/>
                <w:sz w:val="18"/>
                <w:szCs w:val="18"/>
                <w:lang w:val="ro-MD"/>
              </w:rPr>
              <w:t>CERINȚE DE FONDURI PROPRII PENTRU RISCUL DE AJUSTARE A EVALUĂRII CREDITULUI</w:t>
            </w:r>
          </w:p>
          <w:p w14:paraId="36CAC4F4" w14:textId="77777777" w:rsidR="00643F80" w:rsidRPr="002460E2" w:rsidRDefault="00643F80" w:rsidP="00643F80">
            <w:pPr>
              <w:pStyle w:val="CM4"/>
              <w:spacing w:after="120"/>
              <w:jc w:val="both"/>
              <w:rPr>
                <w:rFonts w:ascii="Times New Roman" w:hAnsi="Times New Roman"/>
                <w:bCs/>
                <w:i/>
                <w:iCs/>
                <w:sz w:val="18"/>
                <w:szCs w:val="18"/>
                <w:lang w:val="ro-MD"/>
              </w:rPr>
            </w:pPr>
            <w:r w:rsidRPr="002460E2">
              <w:rPr>
                <w:rFonts w:ascii="Times New Roman" w:hAnsi="Times New Roman"/>
                <w:bCs/>
                <w:i/>
                <w:iCs/>
                <w:sz w:val="18"/>
                <w:szCs w:val="18"/>
                <w:lang w:val="ro-MD"/>
              </w:rPr>
              <w:t>Articolul 381</w:t>
            </w:r>
          </w:p>
          <w:p w14:paraId="1BF285E8" w14:textId="77777777" w:rsidR="00643F80" w:rsidRPr="002460E2" w:rsidRDefault="00643F80" w:rsidP="00643F80">
            <w:pPr>
              <w:pStyle w:val="CM4"/>
              <w:spacing w:after="120"/>
              <w:jc w:val="both"/>
              <w:rPr>
                <w:rFonts w:ascii="Times New Roman" w:hAnsi="Times New Roman"/>
                <w:b/>
                <w:sz w:val="18"/>
                <w:szCs w:val="18"/>
                <w:lang w:val="ro-MD"/>
              </w:rPr>
            </w:pPr>
            <w:r w:rsidRPr="002460E2">
              <w:rPr>
                <w:rFonts w:ascii="Times New Roman" w:hAnsi="Times New Roman"/>
                <w:b/>
                <w:sz w:val="18"/>
                <w:szCs w:val="18"/>
                <w:lang w:val="ro-MD"/>
              </w:rPr>
              <w:t>Înțelesul ajustării evaluării creditului</w:t>
            </w:r>
          </w:p>
          <w:p w14:paraId="09E99B9D" w14:textId="5C59A356" w:rsidR="001A4DE8" w:rsidRPr="002460E2" w:rsidRDefault="00643F80" w:rsidP="00643F80">
            <w:pPr>
              <w:pStyle w:val="CM4"/>
              <w:spacing w:after="120"/>
              <w:jc w:val="both"/>
              <w:rPr>
                <w:rFonts w:ascii="Times New Roman" w:hAnsi="Times New Roman"/>
                <w:bCs/>
                <w:sz w:val="18"/>
                <w:szCs w:val="18"/>
                <w:lang w:val="ro-MD"/>
              </w:rPr>
            </w:pPr>
            <w:r w:rsidRPr="002460E2">
              <w:rPr>
                <w:rFonts w:ascii="Times New Roman" w:hAnsi="Times New Roman"/>
                <w:bCs/>
                <w:sz w:val="18"/>
                <w:szCs w:val="18"/>
                <w:lang w:val="ro-MD"/>
              </w:rPr>
              <w:t xml:space="preserve">În sensul prezentului titlu și al capitolului 6 din titlul II, „Ajustarea evaluării creditului” sau „CVA” </w:t>
            </w:r>
            <w:r w:rsidRPr="002460E2">
              <w:rPr>
                <w:rFonts w:ascii="Times New Roman" w:hAnsi="Times New Roman"/>
                <w:bCs/>
                <w:i/>
                <w:iCs/>
                <w:sz w:val="18"/>
                <w:szCs w:val="18"/>
                <w:lang w:val="ro-MD"/>
              </w:rPr>
              <w:t xml:space="preserve">(Credit </w:t>
            </w:r>
            <w:r w:rsidRPr="002460E2">
              <w:rPr>
                <w:rFonts w:ascii="Times New Roman" w:hAnsi="Times New Roman"/>
                <w:bCs/>
                <w:i/>
                <w:iCs/>
                <w:sz w:val="18"/>
                <w:szCs w:val="18"/>
                <w:lang w:val="ro-MD"/>
              </w:rPr>
              <w:lastRenderedPageBreak/>
              <w:t>Valuation Adjustment)</w:t>
            </w:r>
            <w:r w:rsidRPr="002460E2">
              <w:rPr>
                <w:rFonts w:ascii="Times New Roman" w:hAnsi="Times New Roman"/>
                <w:bCs/>
                <w:sz w:val="18"/>
                <w:szCs w:val="18"/>
                <w:lang w:val="ro-MD"/>
              </w:rPr>
              <w:t xml:space="preserve"> înseamnă o ajustare la cursul mediu al pieței a portofoliului de tranzacții încheiate cu o contraparte. Această ajustare reflectă valoarea de piață curentă a riscului de credit pe care îl reprezintă contrapartea pentru instituție, dar nu reflectă valoarea de piață curentă a riscului de credit pe care îl reprezintă instituția pentru contraparte.</w:t>
            </w:r>
          </w:p>
        </w:tc>
        <w:tc>
          <w:tcPr>
            <w:tcW w:w="3685" w:type="dxa"/>
            <w:shd w:val="clear" w:color="auto" w:fill="auto"/>
          </w:tcPr>
          <w:p w14:paraId="16180200" w14:textId="475EC3CF" w:rsidR="00024F5D" w:rsidRPr="002460E2" w:rsidRDefault="00024F5D" w:rsidP="00024F5D">
            <w:pPr>
              <w:jc w:val="both"/>
              <w:rPr>
                <w:b/>
                <w:iCs/>
                <w:sz w:val="18"/>
                <w:szCs w:val="18"/>
                <w:lang w:val="ro-MD"/>
              </w:rPr>
            </w:pPr>
            <w:r w:rsidRPr="002460E2">
              <w:rPr>
                <w:b/>
                <w:bCs/>
                <w:iCs/>
                <w:sz w:val="18"/>
                <w:szCs w:val="18"/>
                <w:lang w:val="ro-MD"/>
              </w:rPr>
              <w:lastRenderedPageBreak/>
              <w:t>REGULAMENTUL</w:t>
            </w:r>
          </w:p>
          <w:p w14:paraId="3211751F" w14:textId="77777777" w:rsidR="00024F5D" w:rsidRPr="002460E2" w:rsidRDefault="00024F5D" w:rsidP="00024F5D">
            <w:pPr>
              <w:jc w:val="both"/>
              <w:rPr>
                <w:b/>
                <w:bCs/>
                <w:iCs/>
                <w:sz w:val="18"/>
                <w:szCs w:val="18"/>
                <w:lang w:val="ro-MD"/>
              </w:rPr>
            </w:pPr>
            <w:r w:rsidRPr="002460E2">
              <w:rPr>
                <w:b/>
                <w:bCs/>
                <w:iCs/>
                <w:sz w:val="18"/>
                <w:szCs w:val="18"/>
                <w:lang w:val="ro-MD"/>
              </w:rPr>
              <w:t>cu privire la tratamentul riscului de ajustare</w:t>
            </w:r>
          </w:p>
          <w:p w14:paraId="62C6E5CD" w14:textId="77777777" w:rsidR="00024F5D" w:rsidRPr="002460E2" w:rsidRDefault="00024F5D" w:rsidP="00024F5D">
            <w:pPr>
              <w:jc w:val="both"/>
              <w:rPr>
                <w:b/>
                <w:bCs/>
                <w:iCs/>
                <w:sz w:val="18"/>
                <w:szCs w:val="18"/>
                <w:lang w:val="ro-MD"/>
              </w:rPr>
            </w:pPr>
            <w:r w:rsidRPr="002460E2">
              <w:rPr>
                <w:b/>
                <w:bCs/>
                <w:iCs/>
                <w:sz w:val="18"/>
                <w:szCs w:val="18"/>
                <w:lang w:val="ro-MD"/>
              </w:rPr>
              <w:t>a evaluării creditului pentru bănci</w:t>
            </w:r>
          </w:p>
          <w:p w14:paraId="17CE4F3C" w14:textId="77777777" w:rsidR="001A4DE8" w:rsidRPr="002460E2" w:rsidRDefault="001A4DE8" w:rsidP="00B93C1C">
            <w:pPr>
              <w:jc w:val="both"/>
              <w:rPr>
                <w:b/>
                <w:i/>
                <w:sz w:val="18"/>
                <w:szCs w:val="18"/>
                <w:lang w:val="ro-RO"/>
              </w:rPr>
            </w:pPr>
          </w:p>
          <w:p w14:paraId="1F8480F6" w14:textId="77777777" w:rsidR="004B63BB" w:rsidRPr="002460E2" w:rsidRDefault="004B63BB" w:rsidP="00B93C1C">
            <w:pPr>
              <w:jc w:val="both"/>
              <w:rPr>
                <w:b/>
                <w:i/>
                <w:sz w:val="18"/>
                <w:szCs w:val="18"/>
                <w:lang w:val="ro-RO"/>
              </w:rPr>
            </w:pPr>
          </w:p>
          <w:p w14:paraId="6CB4967F" w14:textId="77777777" w:rsidR="004B63BB" w:rsidRPr="002460E2" w:rsidRDefault="004B63BB" w:rsidP="00B93C1C">
            <w:pPr>
              <w:jc w:val="both"/>
              <w:rPr>
                <w:b/>
                <w:i/>
                <w:sz w:val="18"/>
                <w:szCs w:val="18"/>
                <w:lang w:val="ro-RO"/>
              </w:rPr>
            </w:pPr>
          </w:p>
          <w:p w14:paraId="2F327331" w14:textId="27A4D04A" w:rsidR="004B63BB" w:rsidRPr="002460E2" w:rsidRDefault="004B63BB" w:rsidP="003F486D">
            <w:pPr>
              <w:pStyle w:val="ListParagraph"/>
              <w:numPr>
                <w:ilvl w:val="0"/>
                <w:numId w:val="32"/>
              </w:numPr>
              <w:tabs>
                <w:tab w:val="left" w:pos="314"/>
              </w:tabs>
              <w:spacing w:after="160" w:line="259" w:lineRule="auto"/>
              <w:ind w:left="0" w:firstLine="0"/>
              <w:jc w:val="both"/>
              <w:rPr>
                <w:sz w:val="18"/>
                <w:szCs w:val="18"/>
                <w:lang w:val="ro-RO" w:eastAsia="en-US"/>
              </w:rPr>
            </w:pPr>
            <w:r w:rsidRPr="002460E2">
              <w:rPr>
                <w:sz w:val="18"/>
                <w:szCs w:val="18"/>
                <w:lang w:val="ro-RO" w:eastAsia="en-US"/>
              </w:rPr>
              <w:t>În scopul calculării cerințelor de fonduri proprii pentru riscul CVA, se aplică următoarele definiții:</w:t>
            </w:r>
          </w:p>
          <w:p w14:paraId="3D79D8DF" w14:textId="77777777" w:rsidR="004B63BB" w:rsidRPr="002460E2" w:rsidRDefault="004B63BB" w:rsidP="00016ADF">
            <w:pPr>
              <w:jc w:val="both"/>
              <w:rPr>
                <w:sz w:val="18"/>
                <w:szCs w:val="18"/>
                <w:lang w:val="ro-MD" w:eastAsia="en-US"/>
              </w:rPr>
            </w:pPr>
            <w:r w:rsidRPr="002460E2">
              <w:rPr>
                <w:i/>
                <w:iCs/>
                <w:sz w:val="18"/>
                <w:szCs w:val="18"/>
                <w:lang w:val="ro-MD" w:eastAsia="en-US"/>
              </w:rPr>
              <w:lastRenderedPageBreak/>
              <w:t>ajustarea evaluării creditului</w:t>
            </w:r>
            <w:r w:rsidRPr="002460E2">
              <w:rPr>
                <w:sz w:val="18"/>
                <w:szCs w:val="18"/>
                <w:lang w:val="ro-MD" w:eastAsia="en-US"/>
              </w:rPr>
              <w:t xml:space="preserve"> sau </w:t>
            </w:r>
            <w:r w:rsidRPr="002460E2">
              <w:rPr>
                <w:i/>
                <w:iCs/>
                <w:sz w:val="18"/>
                <w:szCs w:val="18"/>
                <w:lang w:val="ro-MD" w:eastAsia="en-US"/>
              </w:rPr>
              <w:t>CVA</w:t>
            </w:r>
            <w:r w:rsidRPr="002460E2">
              <w:rPr>
                <w:sz w:val="18"/>
                <w:szCs w:val="18"/>
                <w:lang w:val="ro-MD" w:eastAsia="en-US"/>
              </w:rPr>
              <w:t xml:space="preserve"> (</w:t>
            </w:r>
            <w:r w:rsidRPr="002460E2">
              <w:rPr>
                <w:i/>
                <w:iCs/>
                <w:sz w:val="18"/>
                <w:szCs w:val="18"/>
                <w:lang w:val="ro-MD" w:eastAsia="en-US"/>
              </w:rPr>
              <w:t>Credit Valuation Adjustment</w:t>
            </w:r>
            <w:r w:rsidRPr="002460E2">
              <w:rPr>
                <w:sz w:val="18"/>
                <w:szCs w:val="18"/>
                <w:lang w:val="ro-MD" w:eastAsia="en-US"/>
              </w:rPr>
              <w:t>) - înseamnă o ajustare la cursul mediu al pieței a portofoliului de tranzacții încheiate cu o contraparte. Această ajustare reflectă valoarea de piață curentă a riscului de credit pe care îl reprezintă contrapartea pentru bancă, dar nu reflectă valoarea de piață curentă a riscului de credit pe care îl reprezintă banca pentru contraparte.</w:t>
            </w:r>
          </w:p>
          <w:p w14:paraId="2935CC65" w14:textId="77777777" w:rsidR="004B63BB" w:rsidRPr="002460E2" w:rsidRDefault="004B63BB" w:rsidP="00B93C1C">
            <w:pPr>
              <w:jc w:val="both"/>
              <w:rPr>
                <w:b/>
                <w:i/>
                <w:sz w:val="18"/>
                <w:szCs w:val="18"/>
                <w:lang w:val="ro-MD"/>
              </w:rPr>
            </w:pPr>
          </w:p>
        </w:tc>
        <w:tc>
          <w:tcPr>
            <w:tcW w:w="1229" w:type="dxa"/>
          </w:tcPr>
          <w:p w14:paraId="0FEF19E2" w14:textId="03FC31FF" w:rsidR="001A4DE8" w:rsidRPr="002460E2" w:rsidRDefault="002460E2" w:rsidP="00B93C1C">
            <w:pPr>
              <w:jc w:val="both"/>
              <w:rPr>
                <w:sz w:val="18"/>
                <w:szCs w:val="18"/>
                <w:lang w:val="ro-MD"/>
              </w:rPr>
            </w:pPr>
            <w:r>
              <w:rPr>
                <w:sz w:val="18"/>
                <w:szCs w:val="18"/>
                <w:lang w:val="ro-MD"/>
              </w:rPr>
              <w:lastRenderedPageBreak/>
              <w:t>c</w:t>
            </w:r>
            <w:r w:rsidR="001A4DE8" w:rsidRPr="002460E2">
              <w:rPr>
                <w:sz w:val="18"/>
                <w:szCs w:val="18"/>
                <w:lang w:val="ro-MD"/>
              </w:rPr>
              <w:t xml:space="preserve">ompatibil </w:t>
            </w:r>
          </w:p>
        </w:tc>
        <w:tc>
          <w:tcPr>
            <w:tcW w:w="5292" w:type="dxa"/>
            <w:tcBorders>
              <w:top w:val="single" w:sz="4" w:space="0" w:color="auto"/>
              <w:bottom w:val="single" w:sz="4" w:space="0" w:color="auto"/>
            </w:tcBorders>
          </w:tcPr>
          <w:p w14:paraId="1416A9B1" w14:textId="0F4D603B" w:rsidR="001A4DE8" w:rsidRPr="002460E2" w:rsidRDefault="001A4DE8" w:rsidP="001A4DE8">
            <w:pPr>
              <w:rPr>
                <w:sz w:val="18"/>
                <w:szCs w:val="18"/>
                <w:lang w:val="ro-MD"/>
              </w:rPr>
            </w:pPr>
            <w:r w:rsidRPr="002460E2">
              <w:rPr>
                <w:sz w:val="18"/>
                <w:szCs w:val="18"/>
                <w:lang w:val="ro-MD"/>
              </w:rPr>
              <w:t>Definiția a fost transpusă conform articolul 2 punctul 1 din Regulamentul (UE) nr. 648/2012.</w:t>
            </w:r>
          </w:p>
        </w:tc>
      </w:tr>
      <w:tr w:rsidR="00643F80" w:rsidRPr="002460E2" w14:paraId="0EB746EF" w14:textId="77777777" w:rsidTr="003F5B3C">
        <w:trPr>
          <w:trHeight w:val="918"/>
        </w:trPr>
        <w:tc>
          <w:tcPr>
            <w:tcW w:w="4253" w:type="dxa"/>
          </w:tcPr>
          <w:p w14:paraId="7E2137F1" w14:textId="258E3A27" w:rsidR="00643F80" w:rsidRPr="002460E2" w:rsidRDefault="00643F80" w:rsidP="00643F80">
            <w:pPr>
              <w:pStyle w:val="CM4"/>
              <w:spacing w:after="120"/>
              <w:jc w:val="both"/>
              <w:rPr>
                <w:rFonts w:ascii="Times New Roman" w:hAnsi="Times New Roman"/>
                <w:b/>
                <w:sz w:val="18"/>
                <w:szCs w:val="18"/>
                <w:lang w:val="ro-MD"/>
              </w:rPr>
            </w:pPr>
            <w:r w:rsidRPr="002460E2">
              <w:rPr>
                <w:rFonts w:ascii="Times New Roman" w:hAnsi="Times New Roman"/>
                <w:bCs/>
                <w:sz w:val="18"/>
                <w:szCs w:val="18"/>
                <w:lang w:val="ro-MD"/>
              </w:rPr>
              <w:t>În sensul prezentului titlu, „risc CVA” înseamnă riscul de pierderi care rezultă din modificările valorii CVA, calculat pentru portofoliul de tranzacții cu o contraparte, astfel cum se prevede la primul paragraf, ca urmare a variațiilor factorilor de risc de marjă de credit ai unei contrapărți și a variațiilor altor factori de risc încorporați în portofoliul de tranzacții.</w:t>
            </w:r>
          </w:p>
        </w:tc>
        <w:tc>
          <w:tcPr>
            <w:tcW w:w="3685" w:type="dxa"/>
            <w:shd w:val="clear" w:color="auto" w:fill="auto"/>
          </w:tcPr>
          <w:p w14:paraId="139B0CAE" w14:textId="77777777" w:rsidR="00016ADF" w:rsidRPr="002460E2" w:rsidRDefault="00016ADF" w:rsidP="00016ADF">
            <w:pPr>
              <w:contextualSpacing/>
              <w:jc w:val="both"/>
              <w:rPr>
                <w:i/>
                <w:iCs/>
                <w:sz w:val="18"/>
                <w:szCs w:val="18"/>
                <w:lang w:val="ro-RO" w:eastAsia="en-US"/>
              </w:rPr>
            </w:pPr>
            <w:r w:rsidRPr="002460E2">
              <w:rPr>
                <w:i/>
                <w:iCs/>
                <w:sz w:val="18"/>
                <w:szCs w:val="18"/>
                <w:lang w:val="ro-MD" w:eastAsia="en-US"/>
              </w:rPr>
              <w:t xml:space="preserve">risc CVA - </w:t>
            </w:r>
            <w:r w:rsidRPr="002460E2">
              <w:rPr>
                <w:sz w:val="18"/>
                <w:szCs w:val="18"/>
                <w:lang w:val="ro-MD" w:eastAsia="en-US"/>
              </w:rPr>
              <w:t>înseamnă riscul de pierderi care rezultă din modificările valorii CVA, calculat pentru portofoliul de tranzacții cu o contraparte, astfel cum se prevede la definiția „ajustarea evaluării creditului” sau „CVA” ca urmare a variațiilor factorilor de risc de marjă de credit ai unei contrapărți și a variațiilor altor factori de risc încorporați în portofoliul de tranzacții.</w:t>
            </w:r>
          </w:p>
          <w:p w14:paraId="5B6C0280" w14:textId="77777777" w:rsidR="00643F80" w:rsidRPr="002460E2" w:rsidRDefault="00643F80" w:rsidP="00B93C1C">
            <w:pPr>
              <w:jc w:val="both"/>
              <w:rPr>
                <w:b/>
                <w:i/>
                <w:sz w:val="18"/>
                <w:szCs w:val="18"/>
                <w:lang w:val="ro-RO"/>
              </w:rPr>
            </w:pPr>
          </w:p>
        </w:tc>
        <w:tc>
          <w:tcPr>
            <w:tcW w:w="1229" w:type="dxa"/>
          </w:tcPr>
          <w:p w14:paraId="59A8BC58" w14:textId="687F079B" w:rsidR="00643F80" w:rsidRPr="002460E2" w:rsidRDefault="002460E2" w:rsidP="00B93C1C">
            <w:pPr>
              <w:jc w:val="both"/>
              <w:rPr>
                <w:sz w:val="18"/>
                <w:szCs w:val="18"/>
                <w:lang w:val="ro-MD"/>
              </w:rPr>
            </w:pPr>
            <w:r>
              <w:rPr>
                <w:sz w:val="18"/>
                <w:szCs w:val="18"/>
                <w:lang w:val="ro-MD"/>
              </w:rPr>
              <w:t>c</w:t>
            </w:r>
            <w:r w:rsidR="00016ADF" w:rsidRPr="002460E2">
              <w:rPr>
                <w:sz w:val="18"/>
                <w:szCs w:val="18"/>
                <w:lang w:val="ro-MD"/>
              </w:rPr>
              <w:t>ompatibil</w:t>
            </w:r>
          </w:p>
        </w:tc>
        <w:tc>
          <w:tcPr>
            <w:tcW w:w="5292" w:type="dxa"/>
            <w:tcBorders>
              <w:top w:val="single" w:sz="4" w:space="0" w:color="auto"/>
              <w:bottom w:val="single" w:sz="4" w:space="0" w:color="auto"/>
            </w:tcBorders>
          </w:tcPr>
          <w:p w14:paraId="394E5FA0" w14:textId="77777777" w:rsidR="00643F80" w:rsidRPr="002460E2" w:rsidRDefault="00643F80" w:rsidP="001A4DE8">
            <w:pPr>
              <w:rPr>
                <w:sz w:val="18"/>
                <w:szCs w:val="18"/>
                <w:lang w:val="ro-MD"/>
              </w:rPr>
            </w:pPr>
          </w:p>
        </w:tc>
      </w:tr>
      <w:tr w:rsidR="00643F80" w:rsidRPr="002460E2" w14:paraId="32048E11" w14:textId="77777777" w:rsidTr="003F5B3C">
        <w:trPr>
          <w:trHeight w:val="918"/>
        </w:trPr>
        <w:tc>
          <w:tcPr>
            <w:tcW w:w="4253" w:type="dxa"/>
          </w:tcPr>
          <w:p w14:paraId="35183FB4" w14:textId="77777777" w:rsidR="00024F5D" w:rsidRPr="002460E2" w:rsidRDefault="00024F5D" w:rsidP="00024F5D">
            <w:pPr>
              <w:rPr>
                <w:i/>
                <w:iCs/>
                <w:sz w:val="18"/>
                <w:szCs w:val="18"/>
                <w:lang w:val="en-US"/>
              </w:rPr>
            </w:pPr>
            <w:r w:rsidRPr="002460E2">
              <w:rPr>
                <w:i/>
                <w:iCs/>
                <w:sz w:val="18"/>
                <w:szCs w:val="18"/>
                <w:lang w:val="en-US"/>
              </w:rPr>
              <w:t>Articolul 382</w:t>
            </w:r>
          </w:p>
          <w:p w14:paraId="7E50BBC5" w14:textId="77777777" w:rsidR="00024F5D" w:rsidRPr="002460E2" w:rsidRDefault="00024F5D" w:rsidP="00024F5D">
            <w:pPr>
              <w:rPr>
                <w:b/>
                <w:bCs/>
                <w:sz w:val="18"/>
                <w:szCs w:val="18"/>
                <w:lang w:val="en-US"/>
              </w:rPr>
            </w:pPr>
            <w:r w:rsidRPr="002460E2">
              <w:rPr>
                <w:b/>
                <w:bCs/>
                <w:sz w:val="18"/>
                <w:szCs w:val="18"/>
                <w:lang w:val="en-US"/>
              </w:rPr>
              <w:t>Domeniu de aplicare</w:t>
            </w:r>
          </w:p>
          <w:p w14:paraId="7E14CA17" w14:textId="1A7BEF0E" w:rsidR="00643F80" w:rsidRPr="002460E2" w:rsidRDefault="00024F5D" w:rsidP="00024F5D">
            <w:pPr>
              <w:rPr>
                <w:sz w:val="18"/>
                <w:szCs w:val="18"/>
                <w:lang w:val="en-US"/>
              </w:rPr>
            </w:pPr>
            <w:r w:rsidRPr="002460E2">
              <w:rPr>
                <w:sz w:val="18"/>
                <w:szCs w:val="18"/>
                <w:lang w:val="en-US"/>
              </w:rPr>
              <w:t>(1)   O instituție calculează cerințele de fonduri proprii pentru riscul CVA în conformitate cu prezentul titlu pentru toate instrumentele financiare derivate extrabursiere în ceea ce privește toate activitățile sale, altele decât instrumentele financiare derivate de credit recunoscute în vederea reducerii cuantumurilor ponderate la risc ale expunerilor pentru riscul de credit.</w:t>
            </w:r>
          </w:p>
        </w:tc>
        <w:tc>
          <w:tcPr>
            <w:tcW w:w="3685" w:type="dxa"/>
            <w:shd w:val="clear" w:color="auto" w:fill="auto"/>
          </w:tcPr>
          <w:p w14:paraId="4A70790B" w14:textId="61F0DDBF" w:rsidR="00016ADF" w:rsidRPr="002460E2" w:rsidRDefault="00016ADF" w:rsidP="00016ADF">
            <w:pPr>
              <w:ind w:left="426"/>
              <w:contextualSpacing/>
              <w:jc w:val="center"/>
              <w:rPr>
                <w:b/>
                <w:bCs/>
                <w:sz w:val="18"/>
                <w:szCs w:val="18"/>
                <w:lang w:val="ro-MD" w:eastAsia="en-US"/>
              </w:rPr>
            </w:pPr>
            <w:r w:rsidRPr="002460E2">
              <w:rPr>
                <w:b/>
                <w:bCs/>
                <w:sz w:val="18"/>
                <w:szCs w:val="18"/>
                <w:lang w:val="ro-MD" w:eastAsia="en-US"/>
              </w:rPr>
              <w:t>Capitolul II</w:t>
            </w:r>
          </w:p>
          <w:p w14:paraId="57E06F5D" w14:textId="77777777" w:rsidR="00016ADF" w:rsidRPr="002460E2" w:rsidRDefault="00016ADF" w:rsidP="00016ADF">
            <w:pPr>
              <w:ind w:left="426"/>
              <w:contextualSpacing/>
              <w:jc w:val="center"/>
              <w:rPr>
                <w:b/>
                <w:bCs/>
                <w:sz w:val="18"/>
                <w:szCs w:val="18"/>
                <w:lang w:val="ro-MD" w:eastAsia="en-US"/>
              </w:rPr>
            </w:pPr>
            <w:r w:rsidRPr="002460E2">
              <w:rPr>
                <w:b/>
                <w:bCs/>
                <w:sz w:val="18"/>
                <w:szCs w:val="18"/>
                <w:lang w:val="ro-MD" w:eastAsia="en-US"/>
              </w:rPr>
              <w:t>Domeniu de aplicare</w:t>
            </w:r>
          </w:p>
          <w:p w14:paraId="581D30DB" w14:textId="77777777" w:rsidR="00016ADF" w:rsidRPr="002460E2" w:rsidRDefault="00016ADF" w:rsidP="00016ADF">
            <w:pPr>
              <w:ind w:left="426"/>
              <w:contextualSpacing/>
              <w:jc w:val="both"/>
              <w:rPr>
                <w:sz w:val="18"/>
                <w:szCs w:val="18"/>
                <w:lang w:val="ro-MD" w:eastAsia="en-US"/>
              </w:rPr>
            </w:pPr>
          </w:p>
          <w:p w14:paraId="7E99C2CC" w14:textId="479AEDDA" w:rsidR="00643F80" w:rsidRPr="002460E2" w:rsidRDefault="00016ADF" w:rsidP="00016ADF">
            <w:pPr>
              <w:pStyle w:val="ListParagraph"/>
              <w:numPr>
                <w:ilvl w:val="0"/>
                <w:numId w:val="32"/>
              </w:numPr>
              <w:tabs>
                <w:tab w:val="left" w:pos="172"/>
              </w:tabs>
              <w:spacing w:after="160" w:line="259" w:lineRule="auto"/>
              <w:ind w:left="0" w:firstLine="0"/>
              <w:jc w:val="both"/>
              <w:rPr>
                <w:sz w:val="18"/>
                <w:szCs w:val="18"/>
                <w:lang w:val="ro-MD" w:eastAsia="en-US"/>
              </w:rPr>
            </w:pPr>
            <w:r w:rsidRPr="002460E2">
              <w:rPr>
                <w:sz w:val="18"/>
                <w:szCs w:val="18"/>
                <w:lang w:val="ro-MD" w:eastAsia="en-US"/>
              </w:rPr>
              <w:t>Banca calculează cerințele de fonduri proprii pentru riscul CVA în conformitate cu prezentul regulament pentru toate instrumentele financiare derivate extrabursiere în ceea ce privește toate activitățile sale, altele decât instrumentele financiare derivate de credit recunoscute în vederea reducerii cuantumurilor ponderate la risc ale expunerilor pentru riscul de credit.</w:t>
            </w:r>
          </w:p>
        </w:tc>
        <w:tc>
          <w:tcPr>
            <w:tcW w:w="1229" w:type="dxa"/>
          </w:tcPr>
          <w:p w14:paraId="6BD3026B" w14:textId="6249213B" w:rsidR="00643F80" w:rsidRPr="002460E2" w:rsidRDefault="002460E2" w:rsidP="00B93C1C">
            <w:pPr>
              <w:jc w:val="both"/>
              <w:rPr>
                <w:sz w:val="18"/>
                <w:szCs w:val="18"/>
                <w:lang w:val="ro-MD"/>
              </w:rPr>
            </w:pPr>
            <w:r>
              <w:rPr>
                <w:sz w:val="18"/>
                <w:szCs w:val="18"/>
                <w:lang w:val="ro-MD"/>
              </w:rPr>
              <w:t>c</w:t>
            </w:r>
            <w:r w:rsidR="00016ADF" w:rsidRPr="002460E2">
              <w:rPr>
                <w:sz w:val="18"/>
                <w:szCs w:val="18"/>
                <w:lang w:val="ro-MD"/>
              </w:rPr>
              <w:t>ompatibil</w:t>
            </w:r>
          </w:p>
        </w:tc>
        <w:tc>
          <w:tcPr>
            <w:tcW w:w="5292" w:type="dxa"/>
            <w:tcBorders>
              <w:top w:val="single" w:sz="4" w:space="0" w:color="auto"/>
              <w:bottom w:val="single" w:sz="4" w:space="0" w:color="auto"/>
            </w:tcBorders>
          </w:tcPr>
          <w:p w14:paraId="1910BBE2" w14:textId="77777777" w:rsidR="00643F80" w:rsidRPr="002460E2" w:rsidRDefault="00643F80" w:rsidP="001A4DE8">
            <w:pPr>
              <w:rPr>
                <w:sz w:val="18"/>
                <w:szCs w:val="18"/>
                <w:lang w:val="ro-MD"/>
              </w:rPr>
            </w:pPr>
          </w:p>
        </w:tc>
      </w:tr>
      <w:tr w:rsidR="0037189C" w:rsidRPr="002460E2" w14:paraId="0510AD00" w14:textId="77777777" w:rsidTr="003F5B3C">
        <w:trPr>
          <w:trHeight w:val="918"/>
        </w:trPr>
        <w:tc>
          <w:tcPr>
            <w:tcW w:w="4253" w:type="dxa"/>
          </w:tcPr>
          <w:p w14:paraId="5B401B2E" w14:textId="0266769E" w:rsidR="00024F5D" w:rsidRPr="002460E2" w:rsidRDefault="00024F5D" w:rsidP="00024F5D">
            <w:pPr>
              <w:rPr>
                <w:sz w:val="18"/>
                <w:szCs w:val="18"/>
                <w:lang w:val="en-US"/>
              </w:rPr>
            </w:pPr>
            <w:r w:rsidRPr="002460E2">
              <w:rPr>
                <w:sz w:val="18"/>
                <w:szCs w:val="18"/>
                <w:lang w:val="en-US"/>
              </w:rPr>
              <w:lastRenderedPageBreak/>
              <w:t>(2)  O instituție include în calculul fondurilor proprii prevăzut la alineatul (1) operațiunile de finanțare prin instrumente financiare care sunt evaluate la valoarea justă în conformitate cu cadrul contabil aplicabil instituției în cazul în care expunerile instituției la riscul CVA care decurg din operațiunile respective sunt semnificative.</w:t>
            </w:r>
          </w:p>
          <w:p w14:paraId="00BFF0B1" w14:textId="04F3C0FF" w:rsidR="0037189C" w:rsidRPr="002460E2" w:rsidRDefault="0037189C" w:rsidP="00024F5D">
            <w:pPr>
              <w:rPr>
                <w:b/>
                <w:sz w:val="18"/>
                <w:szCs w:val="18"/>
                <w:lang w:val="ro-MD"/>
              </w:rPr>
            </w:pPr>
          </w:p>
        </w:tc>
        <w:tc>
          <w:tcPr>
            <w:tcW w:w="3685" w:type="dxa"/>
            <w:shd w:val="clear" w:color="auto" w:fill="auto"/>
          </w:tcPr>
          <w:p w14:paraId="5E8156AB" w14:textId="18AF61F4" w:rsidR="0037189C" w:rsidRPr="002460E2" w:rsidRDefault="00016ADF" w:rsidP="00B26CDE">
            <w:pPr>
              <w:tabs>
                <w:tab w:val="left" w:pos="172"/>
              </w:tabs>
              <w:rPr>
                <w:color w:val="000000"/>
                <w:sz w:val="18"/>
                <w:szCs w:val="18"/>
                <w:lang w:val="ro-MD"/>
              </w:rPr>
            </w:pPr>
            <w:r w:rsidRPr="002460E2">
              <w:rPr>
                <w:color w:val="000000"/>
                <w:sz w:val="18"/>
                <w:szCs w:val="18"/>
                <w:lang w:val="ro-RO"/>
              </w:rPr>
              <w:t>5.</w:t>
            </w:r>
            <w:r w:rsidRPr="002460E2">
              <w:rPr>
                <w:color w:val="000000"/>
                <w:sz w:val="18"/>
                <w:szCs w:val="18"/>
                <w:lang w:val="ro-RO"/>
              </w:rPr>
              <w:tab/>
            </w:r>
            <w:r w:rsidR="00B26CDE" w:rsidRPr="002460E2">
              <w:rPr>
                <w:color w:val="000000"/>
                <w:sz w:val="18"/>
                <w:szCs w:val="18"/>
                <w:lang w:val="ro-MD"/>
              </w:rPr>
              <w:t>Banca include în calculul fondurilor proprii prevăzut la punctul 4 operațiunile de finanțare prin instrumente financiare care sunt evaluate la valoarea justă în conformitate cu cadrul contabil aplicabil băncii în cazul în care expunerile băncii la riscul CVA care decurg din operațiunile respective sunt semnificative</w:t>
            </w:r>
            <w:r w:rsidRPr="002460E2">
              <w:rPr>
                <w:color w:val="000000"/>
                <w:sz w:val="18"/>
                <w:szCs w:val="18"/>
                <w:lang w:val="ro-RO"/>
              </w:rPr>
              <w:tab/>
            </w:r>
          </w:p>
        </w:tc>
        <w:tc>
          <w:tcPr>
            <w:tcW w:w="1229" w:type="dxa"/>
          </w:tcPr>
          <w:p w14:paraId="22E6C9F2" w14:textId="7257017A" w:rsidR="0037189C" w:rsidRPr="002460E2" w:rsidRDefault="002460E2" w:rsidP="00B93C1C">
            <w:pPr>
              <w:jc w:val="both"/>
              <w:rPr>
                <w:sz w:val="18"/>
                <w:szCs w:val="18"/>
                <w:lang w:val="ro-MD"/>
              </w:rPr>
            </w:pPr>
            <w:r>
              <w:rPr>
                <w:sz w:val="18"/>
                <w:szCs w:val="18"/>
                <w:lang w:val="ro-MD"/>
              </w:rPr>
              <w:t>c</w:t>
            </w:r>
            <w:r w:rsidR="0037189C" w:rsidRPr="002460E2">
              <w:rPr>
                <w:sz w:val="18"/>
                <w:szCs w:val="18"/>
                <w:lang w:val="ro-MD"/>
              </w:rPr>
              <w:t>ompatibil</w:t>
            </w:r>
          </w:p>
        </w:tc>
        <w:tc>
          <w:tcPr>
            <w:tcW w:w="5292" w:type="dxa"/>
            <w:tcBorders>
              <w:top w:val="single" w:sz="4" w:space="0" w:color="auto"/>
              <w:bottom w:val="single" w:sz="4" w:space="0" w:color="auto"/>
            </w:tcBorders>
          </w:tcPr>
          <w:p w14:paraId="0ADE1678" w14:textId="77777777" w:rsidR="0037189C" w:rsidRPr="002460E2" w:rsidRDefault="0037189C" w:rsidP="001A4DE8">
            <w:pPr>
              <w:rPr>
                <w:sz w:val="18"/>
                <w:szCs w:val="18"/>
                <w:lang w:val="ro-MD"/>
              </w:rPr>
            </w:pPr>
          </w:p>
        </w:tc>
      </w:tr>
      <w:tr w:rsidR="005A16C7" w:rsidRPr="002460E2" w14:paraId="0CCB6D0C" w14:textId="77777777" w:rsidTr="003F5B3C">
        <w:trPr>
          <w:trHeight w:val="918"/>
        </w:trPr>
        <w:tc>
          <w:tcPr>
            <w:tcW w:w="4253" w:type="dxa"/>
          </w:tcPr>
          <w:p w14:paraId="7B2F8D3E" w14:textId="10454CD8" w:rsidR="00024F5D" w:rsidRPr="002460E2" w:rsidRDefault="00024F5D" w:rsidP="00024F5D">
            <w:pPr>
              <w:rPr>
                <w:sz w:val="18"/>
                <w:szCs w:val="18"/>
                <w:lang w:val="en-US"/>
              </w:rPr>
            </w:pPr>
            <w:r w:rsidRPr="002460E2">
              <w:rPr>
                <w:sz w:val="18"/>
                <w:szCs w:val="18"/>
                <w:lang w:val="en-US"/>
              </w:rPr>
              <w:t>(3) Tranzacțiile cu o CPCC și tranzacțiile care au loc între un client și un membru compensator atunci când membrul compensator acționează ca intermediar între client și o CPCC, iar tranzacțiile dau naștere unei expuneri din tranzacții a membrului compensator la CPCC, sunt excluse de la aplicarea cerințelor de fonduri proprii pentru riscul CVA.</w:t>
            </w:r>
          </w:p>
          <w:p w14:paraId="3EFB504F" w14:textId="163FA745" w:rsidR="005A16C7" w:rsidRPr="002460E2" w:rsidRDefault="005A16C7" w:rsidP="005D7E14">
            <w:pPr>
              <w:rPr>
                <w:b/>
                <w:sz w:val="18"/>
                <w:szCs w:val="18"/>
                <w:lang w:val="en-US"/>
              </w:rPr>
            </w:pPr>
          </w:p>
        </w:tc>
        <w:tc>
          <w:tcPr>
            <w:tcW w:w="3685" w:type="dxa"/>
            <w:shd w:val="clear" w:color="auto" w:fill="auto"/>
          </w:tcPr>
          <w:p w14:paraId="4A44B440" w14:textId="0C64F9EC" w:rsidR="005A16C7" w:rsidRPr="002460E2" w:rsidRDefault="00B26CDE" w:rsidP="00B26CDE">
            <w:pPr>
              <w:pStyle w:val="ListParagraph"/>
              <w:numPr>
                <w:ilvl w:val="0"/>
                <w:numId w:val="33"/>
              </w:numPr>
              <w:tabs>
                <w:tab w:val="left" w:pos="184"/>
              </w:tabs>
              <w:ind w:left="0" w:firstLine="0"/>
              <w:rPr>
                <w:color w:val="000000"/>
                <w:sz w:val="18"/>
                <w:szCs w:val="18"/>
                <w:lang w:val="ro-RO"/>
              </w:rPr>
            </w:pPr>
            <w:r w:rsidRPr="002460E2">
              <w:rPr>
                <w:color w:val="000000"/>
                <w:sz w:val="18"/>
                <w:szCs w:val="18"/>
                <w:lang w:val="ro-RO"/>
              </w:rPr>
              <w:t>Tranzacțiile cu o contraparte centrală calificată (în continuare - CPCC) și tranzacțiile care au loc între un client și un membru compensator atunci când membrul compensator acționează ca intermediar între client și o CPCC, iar tranzacțiile dau naștere unei expuneri din tranzacții a membrului compensator la CPCC sunt excluse de la aplicarea cerințelor de fonduri proprii pentru riscul CVA.</w:t>
            </w:r>
          </w:p>
        </w:tc>
        <w:tc>
          <w:tcPr>
            <w:tcW w:w="1229" w:type="dxa"/>
          </w:tcPr>
          <w:p w14:paraId="48C3D504" w14:textId="5B1E18B8" w:rsidR="005A16C7" w:rsidRPr="002460E2" w:rsidRDefault="002460E2" w:rsidP="00B93C1C">
            <w:pPr>
              <w:jc w:val="both"/>
              <w:rPr>
                <w:sz w:val="18"/>
                <w:szCs w:val="18"/>
                <w:lang w:val="ro-MD"/>
              </w:rPr>
            </w:pPr>
            <w:r>
              <w:rPr>
                <w:sz w:val="18"/>
                <w:szCs w:val="18"/>
                <w:lang w:val="ro-MD"/>
              </w:rPr>
              <w:t>c</w:t>
            </w:r>
            <w:r w:rsidR="005A16C7" w:rsidRPr="002460E2">
              <w:rPr>
                <w:sz w:val="18"/>
                <w:szCs w:val="18"/>
                <w:lang w:val="ro-MD"/>
              </w:rPr>
              <w:t>ompatibil</w:t>
            </w:r>
          </w:p>
        </w:tc>
        <w:tc>
          <w:tcPr>
            <w:tcW w:w="5292" w:type="dxa"/>
            <w:tcBorders>
              <w:top w:val="single" w:sz="4" w:space="0" w:color="auto"/>
              <w:bottom w:val="single" w:sz="4" w:space="0" w:color="auto"/>
            </w:tcBorders>
          </w:tcPr>
          <w:p w14:paraId="1BCFC529" w14:textId="77777777" w:rsidR="005A16C7" w:rsidRPr="002460E2" w:rsidRDefault="005A16C7" w:rsidP="001A4DE8">
            <w:pPr>
              <w:rPr>
                <w:sz w:val="18"/>
                <w:szCs w:val="18"/>
                <w:lang w:val="ro-MD"/>
              </w:rPr>
            </w:pPr>
          </w:p>
        </w:tc>
      </w:tr>
      <w:tr w:rsidR="001A4DE8" w:rsidRPr="002460E2" w14:paraId="480965B8" w14:textId="77777777" w:rsidTr="003F5B3C">
        <w:trPr>
          <w:trHeight w:val="918"/>
        </w:trPr>
        <w:tc>
          <w:tcPr>
            <w:tcW w:w="4253" w:type="dxa"/>
          </w:tcPr>
          <w:p w14:paraId="652D42D8" w14:textId="77777777" w:rsidR="005D7E14" w:rsidRPr="002460E2" w:rsidRDefault="005D7E14" w:rsidP="005D7E14">
            <w:pPr>
              <w:rPr>
                <w:sz w:val="18"/>
                <w:szCs w:val="18"/>
                <w:lang w:val="en-US"/>
              </w:rPr>
            </w:pPr>
            <w:r w:rsidRPr="002460E2">
              <w:rPr>
                <w:sz w:val="18"/>
                <w:szCs w:val="18"/>
                <w:lang w:val="en-US"/>
              </w:rPr>
              <w:t>(4) Următoarele tranzacții sunt excluse de la aplicarea cerințelor de fonduri proprii pentru riscul CVA:</w:t>
            </w:r>
          </w:p>
          <w:p w14:paraId="146A450B" w14:textId="77777777" w:rsidR="005D7E14" w:rsidRPr="002460E2" w:rsidRDefault="005D7E14" w:rsidP="005D7E14">
            <w:pPr>
              <w:rPr>
                <w:sz w:val="18"/>
                <w:szCs w:val="18"/>
                <w:lang w:val="en-US"/>
              </w:rPr>
            </w:pPr>
            <w:r w:rsidRPr="002460E2">
              <w:rPr>
                <w:sz w:val="18"/>
                <w:szCs w:val="18"/>
                <w:lang w:val="en-US"/>
              </w:rPr>
              <w:t>(a) tranzacțiile cu contrapărți nefinanciare, conform definiției de la articolul 2 punctul 9 din Regulamentul (UE) nr. 648/2012, sau cu contrapărți nefinanciare stabilite într-o țară terță, în cazul în care tranzacțiile respective nu depășesc pragul de compensare precizat la articolul 10 alineatele (3) și (4) din regulamentul respectiv;</w:t>
            </w:r>
          </w:p>
          <w:p w14:paraId="4BE7720A" w14:textId="77777777" w:rsidR="005D7E14" w:rsidRPr="002460E2" w:rsidRDefault="005D7E14" w:rsidP="005D7E14">
            <w:pPr>
              <w:rPr>
                <w:sz w:val="18"/>
                <w:szCs w:val="18"/>
                <w:lang w:val="en-US"/>
              </w:rPr>
            </w:pPr>
            <w:r w:rsidRPr="002460E2">
              <w:rPr>
                <w:sz w:val="18"/>
                <w:szCs w:val="18"/>
                <w:lang w:val="en-US"/>
              </w:rPr>
              <w:t>(aa) tranzacțiile intragrup încheiate cu contrapărți nefinanciare, astfel cum sunt definite la articolul 2 punctul 9 din Regulamentul (UE) nr. 648/2012, care fac parte din același grup, dacă sunt îndeplinite toate condițiile următoare:</w:t>
            </w:r>
          </w:p>
          <w:p w14:paraId="090EC892" w14:textId="77777777" w:rsidR="005D7E14" w:rsidRPr="002460E2" w:rsidRDefault="005D7E14" w:rsidP="005D7E14">
            <w:pPr>
              <w:rPr>
                <w:sz w:val="18"/>
                <w:szCs w:val="18"/>
                <w:lang w:val="en-US"/>
              </w:rPr>
            </w:pPr>
            <w:r w:rsidRPr="002460E2">
              <w:rPr>
                <w:sz w:val="18"/>
                <w:szCs w:val="18"/>
                <w:lang w:val="en-US"/>
              </w:rPr>
              <w:t>(i) instituția și contrapărțile nefinanciare sunt incluse integral în aceeași consolidare și fac obiectul supravegherii pe bază consolidată în conformitate cu partea întâi titlul II capitolul 2;</w:t>
            </w:r>
          </w:p>
          <w:p w14:paraId="173141D6" w14:textId="77777777" w:rsidR="005D7E14" w:rsidRPr="002460E2" w:rsidRDefault="005D7E14" w:rsidP="005D7E14">
            <w:pPr>
              <w:rPr>
                <w:sz w:val="18"/>
                <w:szCs w:val="18"/>
                <w:lang w:val="en-US"/>
              </w:rPr>
            </w:pPr>
            <w:r w:rsidRPr="002460E2">
              <w:rPr>
                <w:sz w:val="18"/>
                <w:szCs w:val="18"/>
                <w:lang w:val="en-US"/>
              </w:rPr>
              <w:t>(ii) fac obiectul unor proceduri centralizate adecvate de evaluare, măsurare și control al riscurilor; și</w:t>
            </w:r>
          </w:p>
          <w:p w14:paraId="57B77C71" w14:textId="77777777" w:rsidR="005D7E14" w:rsidRPr="002460E2" w:rsidRDefault="005D7E14" w:rsidP="005D7E14">
            <w:pPr>
              <w:rPr>
                <w:sz w:val="18"/>
                <w:szCs w:val="18"/>
                <w:lang w:val="en-US"/>
              </w:rPr>
            </w:pPr>
            <w:r w:rsidRPr="002460E2">
              <w:rPr>
                <w:sz w:val="18"/>
                <w:szCs w:val="18"/>
                <w:lang w:val="en-US"/>
              </w:rPr>
              <w:lastRenderedPageBreak/>
              <w:t>(iii) contrapărțile nefinanciare sunt stabilite în Uniune sau, dacă sunt stabilite într-o țară terță, Comisia a adoptat un act de punere în aplicare în conformitate cu alineatul (4c) cu privire la respectiva țară terță;</w:t>
            </w:r>
          </w:p>
          <w:p w14:paraId="352DE2C1" w14:textId="77777777" w:rsidR="005D7E14" w:rsidRPr="002460E2" w:rsidRDefault="005D7E14" w:rsidP="005D7E14">
            <w:pPr>
              <w:rPr>
                <w:sz w:val="18"/>
                <w:szCs w:val="18"/>
                <w:lang w:val="en-US"/>
              </w:rPr>
            </w:pPr>
            <w:r w:rsidRPr="002460E2">
              <w:rPr>
                <w:sz w:val="18"/>
                <w:szCs w:val="18"/>
                <w:lang w:val="en-US"/>
              </w:rPr>
              <w:t>(b) tranzacțiile din interiorul grupului încheiate cu contrapărți financiare, astfel cum sunt definite la articolul 2 punctul 8 din Regulamentul (UE) nr. 648/2012, instituții financiare sau societăți prestatoare de servicii auxiliare care sunt stabilite în Uniune sau care sunt stabilite într-o țară terță care aplică respectivelor contrapărți financiare, instituții financiare sau societăți prestatoare de servicii auxiliare cerințe prudențiale și cerințe de supraveghere care sunt cel puțin echivalente cu cele aplicate în Uniune, cu excepția situației în care statele membre adoptă dispoziții de drept intern care prevăd separarea structurală a activităților din cadrul unui grup bancar, caz în care autoritățile competente pot cere includerea în cerințele de fonduri proprii a tranzacțiilor din interiorul grupului efectuate între instituții separate din punct de vedere structural;</w:t>
            </w:r>
          </w:p>
          <w:p w14:paraId="3C60C893" w14:textId="77777777" w:rsidR="005D7E14" w:rsidRPr="002460E2" w:rsidRDefault="005D7E14" w:rsidP="005D7E14">
            <w:pPr>
              <w:rPr>
                <w:sz w:val="18"/>
                <w:szCs w:val="18"/>
                <w:lang w:val="en-US"/>
              </w:rPr>
            </w:pPr>
            <w:r w:rsidRPr="002460E2">
              <w:rPr>
                <w:sz w:val="18"/>
                <w:szCs w:val="18"/>
                <w:lang w:val="en-US"/>
              </w:rPr>
              <w:t>(c) tranzacțiile cu contrapărțile menționate la articolul 2 punctul 10 din Regulamentul (UE) nr. 648/2012 care fac obiectul dispozițiilor tranzitorii de la articolul 85 alineatul (1) din regulamentul respectiv până când încetează să se aplice dispozițiile tranzitorii respective;</w:t>
            </w:r>
          </w:p>
          <w:p w14:paraId="67FB8DA9" w14:textId="77777777" w:rsidR="005D7E14" w:rsidRPr="002460E2" w:rsidRDefault="005D7E14" w:rsidP="005D7E14">
            <w:pPr>
              <w:rPr>
                <w:sz w:val="18"/>
                <w:szCs w:val="18"/>
                <w:lang w:val="en-US"/>
              </w:rPr>
            </w:pPr>
            <w:r w:rsidRPr="002460E2">
              <w:rPr>
                <w:sz w:val="18"/>
                <w:szCs w:val="18"/>
                <w:lang w:val="en-US"/>
              </w:rPr>
              <w:t>(d) tranzacțiile cu contrapărțile menționate la articolul 1 alineatele (4) și (5) din Regulamentul (UE) nr. 648/2012 și tranzacțiile cu contrapărțile pentru care articolul 114 alineatul (4) și articolul 115 alineatul (2) din prezentul regulament specifică o pondere de risc de 0 % pentru expunerile la respectivele contrapărți.</w:t>
            </w:r>
          </w:p>
          <w:p w14:paraId="38767991" w14:textId="77777777" w:rsidR="005D7E14" w:rsidRPr="002460E2" w:rsidRDefault="005D7E14" w:rsidP="005D7E14">
            <w:pPr>
              <w:rPr>
                <w:sz w:val="18"/>
                <w:szCs w:val="18"/>
                <w:lang w:val="en-US"/>
              </w:rPr>
            </w:pPr>
            <w:r w:rsidRPr="002460E2">
              <w:rPr>
                <w:sz w:val="18"/>
                <w:szCs w:val="18"/>
                <w:lang w:val="en-US"/>
              </w:rPr>
              <w:t xml:space="preserve">Exceptarea de la cerința privind riscul CVA pentru tranzacțiile menționate la litera (c) de la prezentul alineat încheiate pe parcursul perioadei de tranziție </w:t>
            </w:r>
            <w:r w:rsidRPr="002460E2">
              <w:rPr>
                <w:sz w:val="18"/>
                <w:szCs w:val="18"/>
                <w:lang w:val="en-US"/>
              </w:rPr>
              <w:lastRenderedPageBreak/>
              <w:t>descrise la articolul 85 alineatul (1) din Regulamentul (UE) nr. 648/2012 ar trebui să se aplice pe întreaga durată a contractului legat de tranzacția respectivă.</w:t>
            </w:r>
          </w:p>
          <w:p w14:paraId="34227C1B" w14:textId="77777777" w:rsidR="005D7E14" w:rsidRPr="002460E2" w:rsidRDefault="005D7E14" w:rsidP="005D7E14">
            <w:pPr>
              <w:rPr>
                <w:sz w:val="18"/>
                <w:szCs w:val="18"/>
                <w:lang w:val="en-US"/>
              </w:rPr>
            </w:pPr>
            <w:r w:rsidRPr="002460E2">
              <w:rPr>
                <w:sz w:val="18"/>
                <w:szCs w:val="18"/>
                <w:lang w:val="en-US"/>
              </w:rPr>
              <w:t>În ceea ce privește litera (a), în cazul în care o instituție nu mai este exceptată prin depășirea pragului exceptării sau datorită unei modificări a pragului exceptării, contractele neîndeplinite rămân exceptate până la data maturității.</w:t>
            </w:r>
          </w:p>
          <w:p w14:paraId="561DBADD" w14:textId="387DED35" w:rsidR="001A4DE8" w:rsidRPr="002460E2" w:rsidRDefault="001A4DE8" w:rsidP="005D7E14">
            <w:pPr>
              <w:rPr>
                <w:sz w:val="18"/>
                <w:szCs w:val="18"/>
                <w:lang w:val="en-US"/>
              </w:rPr>
            </w:pPr>
          </w:p>
        </w:tc>
        <w:tc>
          <w:tcPr>
            <w:tcW w:w="3685" w:type="dxa"/>
            <w:shd w:val="clear" w:color="auto" w:fill="auto"/>
          </w:tcPr>
          <w:p w14:paraId="1F3439D8" w14:textId="6FD94072"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lastRenderedPageBreak/>
              <w:t xml:space="preserve">7. </w:t>
            </w:r>
            <w:r w:rsidRPr="00B26CDE">
              <w:rPr>
                <w:color w:val="000000"/>
                <w:sz w:val="18"/>
                <w:szCs w:val="18"/>
                <w:lang w:val="ro-MD"/>
              </w:rPr>
              <w:t>Următoarele tranzacții sunt excluse de la aplicarea cerințelor de fonduri proprii pentru riscul CVA:</w:t>
            </w:r>
          </w:p>
          <w:p w14:paraId="319BE4B1" w14:textId="122E5E95"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7.1. </w:t>
            </w:r>
            <w:r w:rsidRPr="00B26CDE">
              <w:rPr>
                <w:color w:val="000000"/>
                <w:sz w:val="18"/>
                <w:szCs w:val="18"/>
                <w:lang w:val="ro-MD"/>
              </w:rPr>
              <w:t xml:space="preserve">tranzacțiile cu contrapărți nefinanciare stabilite </w:t>
            </w:r>
            <w:bookmarkStart w:id="0" w:name="_Hlk199169743"/>
            <w:r w:rsidRPr="00B26CDE">
              <w:rPr>
                <w:color w:val="000000"/>
                <w:sz w:val="18"/>
                <w:szCs w:val="18"/>
                <w:lang w:val="ro-MD"/>
              </w:rPr>
              <w:t xml:space="preserve">în statele membre UE,  în Republica Moldova </w:t>
            </w:r>
            <w:bookmarkEnd w:id="0"/>
            <w:r w:rsidRPr="00B26CDE">
              <w:rPr>
                <w:color w:val="000000"/>
                <w:sz w:val="18"/>
                <w:szCs w:val="18"/>
                <w:lang w:val="ro-MD"/>
              </w:rPr>
              <w:t xml:space="preserve">sau cu contrapărți nefinanciare stabilite într-o țară terță; </w:t>
            </w:r>
          </w:p>
          <w:p w14:paraId="44A1303E" w14:textId="6F21C597"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7.1.1. </w:t>
            </w:r>
            <w:r w:rsidRPr="00B26CDE">
              <w:rPr>
                <w:color w:val="000000"/>
                <w:sz w:val="18"/>
                <w:szCs w:val="18"/>
                <w:lang w:val="ro-MD"/>
              </w:rPr>
              <w:t>tranzacțiile intragrup încheiate cu contrapărți nefinanciare, în cazul în care sunt îndeplinite toate condițiile următoare:</w:t>
            </w:r>
          </w:p>
          <w:p w14:paraId="76C4A179" w14:textId="6E28892E"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7.1.1.1. </w:t>
            </w:r>
            <w:r w:rsidRPr="00B26CDE">
              <w:rPr>
                <w:color w:val="000000"/>
                <w:sz w:val="18"/>
                <w:szCs w:val="18"/>
                <w:lang w:val="ro-MD"/>
              </w:rPr>
              <w:t xml:space="preserve">banca și contrapărțile nefinanciare sunt incluse integral în aceeași consolidare și fac obiectul supravegherii pe bază consolidată în conformitate cu reglementările aferente supravegherii pe bază consolidată a băncilor;  </w:t>
            </w:r>
          </w:p>
          <w:p w14:paraId="70738ED3" w14:textId="1530B606"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7.1.1.2. </w:t>
            </w:r>
            <w:r w:rsidRPr="00B26CDE">
              <w:rPr>
                <w:color w:val="000000"/>
                <w:sz w:val="18"/>
                <w:szCs w:val="18"/>
                <w:lang w:val="ro-MD"/>
              </w:rPr>
              <w:t xml:space="preserve">fac obiectul unor proceduri centralizate adecvate de evaluare, măsurare și control al riscurilor; </w:t>
            </w:r>
          </w:p>
          <w:p w14:paraId="1C3B15D6" w14:textId="7D23D1DF"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7.2. </w:t>
            </w:r>
            <w:r w:rsidRPr="00B26CDE">
              <w:rPr>
                <w:color w:val="000000"/>
                <w:sz w:val="18"/>
                <w:szCs w:val="18"/>
                <w:lang w:val="ro-MD"/>
              </w:rPr>
              <w:t xml:space="preserve">tranzacțiile intragrup încheiate cu contrapărți financiare, băncile sau societăți </w:t>
            </w:r>
            <w:r w:rsidRPr="00B26CDE">
              <w:rPr>
                <w:color w:val="000000"/>
                <w:sz w:val="18"/>
                <w:szCs w:val="18"/>
                <w:lang w:val="ro-MD"/>
              </w:rPr>
              <w:lastRenderedPageBreak/>
              <w:t>prestatoare de servicii auxiliare care sunt stabilite în statele membre UE sau în Republica Moldova sau care sunt stabilite într-o țară terță care aplică cerințele prudențiale și de supraveghere a respectivelor contrapărți financiare, băncile sau societăți prestatoare de servicii auxiliare care sunt cel puțin echivalente cu cele aplicate în statele membre UE sau în Republica Moldova, cu excepția situației în care statele membre adoptă dispoziții de drept intern care prevăd separarea structurală a activităților din cadrul unui grup bancar, caz în care autoritățile competente pot cere includerea în cerințele de fonduri proprii a tranzacțiilor intragrup efectuate între entități separate din punct de vedere structural;</w:t>
            </w:r>
          </w:p>
          <w:p w14:paraId="21C17CD9" w14:textId="77777777" w:rsidR="00B26CDE" w:rsidRPr="00B26CDE" w:rsidRDefault="00B26CDE" w:rsidP="00B26CDE">
            <w:pPr>
              <w:tabs>
                <w:tab w:val="left" w:pos="540"/>
              </w:tabs>
              <w:ind w:left="-43"/>
              <w:jc w:val="both"/>
              <w:rPr>
                <w:color w:val="000000"/>
                <w:sz w:val="18"/>
                <w:szCs w:val="18"/>
                <w:lang w:val="ro-MD"/>
              </w:rPr>
            </w:pPr>
            <w:r w:rsidRPr="00B26CDE">
              <w:rPr>
                <w:color w:val="000000"/>
                <w:sz w:val="18"/>
                <w:szCs w:val="18"/>
                <w:lang w:val="ro-MD"/>
              </w:rPr>
              <w:t xml:space="preserve">7.3.tranzacțiile cu contrapărțile pentru care prevederile Regulamentului nr.220/2025 cu privire la tratamentul riscului de credit pentru bănci potrivit abordării standardizate specifică o pondere de risc de 0 % pentru expunerile la respectivele contrapărți. </w:t>
            </w:r>
          </w:p>
          <w:p w14:paraId="16DF5CF6" w14:textId="53326690" w:rsidR="00B26CDE" w:rsidRPr="00B26CDE" w:rsidRDefault="00B26CDE" w:rsidP="00B26CDE">
            <w:pPr>
              <w:tabs>
                <w:tab w:val="left" w:pos="540"/>
              </w:tabs>
              <w:jc w:val="both"/>
              <w:rPr>
                <w:color w:val="000000"/>
                <w:sz w:val="18"/>
                <w:szCs w:val="18"/>
                <w:lang w:val="ro-MD"/>
              </w:rPr>
            </w:pPr>
            <w:r w:rsidRPr="002460E2">
              <w:rPr>
                <w:color w:val="000000"/>
                <w:sz w:val="18"/>
                <w:szCs w:val="18"/>
                <w:lang w:val="ro-MD"/>
              </w:rPr>
              <w:t xml:space="preserve">8. </w:t>
            </w:r>
            <w:r w:rsidRPr="00B26CDE">
              <w:rPr>
                <w:color w:val="000000"/>
                <w:sz w:val="18"/>
                <w:szCs w:val="18"/>
                <w:lang w:val="ro-MD"/>
              </w:rPr>
              <w:t>În ceea ce privește subpunctul 7.1., în cazul în care banca nu mai este exceptată prin depășirea pragului exceptării sau ca urmare a unei modificări a pragului exceptării, contractele neîndeplinite rămân exceptate până la data maturității.</w:t>
            </w:r>
          </w:p>
          <w:p w14:paraId="4D969477" w14:textId="09B3B9F6" w:rsidR="00890C7C" w:rsidRPr="002460E2" w:rsidRDefault="00890C7C" w:rsidP="00890C7C">
            <w:pPr>
              <w:rPr>
                <w:sz w:val="18"/>
                <w:szCs w:val="18"/>
                <w:lang w:val="ro-MD"/>
              </w:rPr>
            </w:pPr>
          </w:p>
        </w:tc>
        <w:tc>
          <w:tcPr>
            <w:tcW w:w="1229" w:type="dxa"/>
          </w:tcPr>
          <w:p w14:paraId="24CA6D74" w14:textId="249E6F15" w:rsidR="001A4DE8" w:rsidRPr="002460E2" w:rsidRDefault="002460E2" w:rsidP="00B93C1C">
            <w:pPr>
              <w:jc w:val="both"/>
              <w:rPr>
                <w:sz w:val="18"/>
                <w:szCs w:val="18"/>
                <w:lang w:val="ro-MD"/>
              </w:rPr>
            </w:pPr>
            <w:r>
              <w:rPr>
                <w:color w:val="000000"/>
                <w:sz w:val="18"/>
                <w:szCs w:val="18"/>
                <w:lang w:val="ro-MD"/>
              </w:rPr>
              <w:lastRenderedPageBreak/>
              <w:t>p</w:t>
            </w:r>
            <w:r w:rsidR="00E1613D" w:rsidRPr="002460E2">
              <w:rPr>
                <w:color w:val="000000"/>
                <w:sz w:val="18"/>
                <w:szCs w:val="18"/>
                <w:lang w:val="ro-MD"/>
              </w:rPr>
              <w:t>arțial compatibil</w:t>
            </w:r>
          </w:p>
        </w:tc>
        <w:tc>
          <w:tcPr>
            <w:tcW w:w="5292" w:type="dxa"/>
            <w:tcBorders>
              <w:top w:val="single" w:sz="4" w:space="0" w:color="auto"/>
              <w:bottom w:val="single" w:sz="4" w:space="0" w:color="auto"/>
            </w:tcBorders>
          </w:tcPr>
          <w:p w14:paraId="158A2A36" w14:textId="2E2AE1FD" w:rsidR="001A4DE8" w:rsidRPr="002460E2" w:rsidRDefault="00632557" w:rsidP="00B93C1C">
            <w:pPr>
              <w:jc w:val="both"/>
              <w:rPr>
                <w:sz w:val="18"/>
                <w:szCs w:val="18"/>
                <w:lang w:val="ro-MD"/>
              </w:rPr>
            </w:pPr>
            <w:r w:rsidRPr="002460E2">
              <w:rPr>
                <w:color w:val="000000"/>
                <w:sz w:val="18"/>
                <w:szCs w:val="18"/>
                <w:lang w:val="ro-MD"/>
              </w:rPr>
              <w:t>S</w:t>
            </w:r>
            <w:r w:rsidR="00E1613D" w:rsidRPr="002460E2">
              <w:rPr>
                <w:color w:val="000000"/>
                <w:sz w:val="18"/>
                <w:szCs w:val="18"/>
                <w:lang w:val="ro-MD"/>
              </w:rPr>
              <w:t>e va transpune odată cu transpunerea Regulamentului (UE) nr. 648/2012</w:t>
            </w:r>
          </w:p>
        </w:tc>
      </w:tr>
      <w:tr w:rsidR="00632557" w:rsidRPr="002460E2" w14:paraId="230676B5" w14:textId="77777777" w:rsidTr="003F5B3C">
        <w:trPr>
          <w:trHeight w:val="918"/>
        </w:trPr>
        <w:tc>
          <w:tcPr>
            <w:tcW w:w="4253" w:type="dxa"/>
          </w:tcPr>
          <w:p w14:paraId="5201E4D7" w14:textId="77777777" w:rsidR="00632557" w:rsidRPr="002460E2" w:rsidRDefault="00632557" w:rsidP="00632557">
            <w:pPr>
              <w:rPr>
                <w:sz w:val="18"/>
                <w:szCs w:val="18"/>
                <w:lang w:val="en-US"/>
              </w:rPr>
            </w:pPr>
            <w:r w:rsidRPr="002460E2">
              <w:rPr>
                <w:sz w:val="18"/>
                <w:szCs w:val="18"/>
                <w:lang w:val="en-US"/>
              </w:rPr>
              <w:lastRenderedPageBreak/>
              <w:t>(4a) Prin derogare de la alineatul (4) de la prezentul articol, o instituție poate alege să calculeze cerințele de fonduri proprii pentru riscul CVA, utilizând oricare dintre abordările menționate la articolul 382a alineatul (1), pentru tranzacțiile care sunt excluse în temeiul alineatului (4) de la prezentul articol, în cazul în care instituția utilizează acoperiri eligibile determinate în conformitate cu articolul 386 pentru a diminua riscul CVA al tranzacțiilor respective. Instituțiile stabilesc politici pentru a preciza aplicarea și calcularea cerințelor de fonduri proprii pentru riscul CVA pentru astfel de tranzacții.</w:t>
            </w:r>
          </w:p>
          <w:p w14:paraId="16919742" w14:textId="269D5023" w:rsidR="00632557" w:rsidRPr="002460E2" w:rsidRDefault="00632557" w:rsidP="00632557">
            <w:pPr>
              <w:rPr>
                <w:sz w:val="18"/>
                <w:szCs w:val="18"/>
                <w:lang w:val="en-US"/>
              </w:rPr>
            </w:pPr>
          </w:p>
        </w:tc>
        <w:tc>
          <w:tcPr>
            <w:tcW w:w="3685" w:type="dxa"/>
            <w:shd w:val="clear" w:color="auto" w:fill="auto"/>
          </w:tcPr>
          <w:p w14:paraId="381E6859" w14:textId="77777777" w:rsidR="00B26CDE" w:rsidRPr="002460E2" w:rsidRDefault="00B62E56" w:rsidP="00B26CDE">
            <w:pPr>
              <w:tabs>
                <w:tab w:val="left" w:pos="175"/>
              </w:tabs>
              <w:rPr>
                <w:color w:val="000000"/>
                <w:sz w:val="18"/>
                <w:szCs w:val="18"/>
                <w:lang w:val="ro-MD"/>
              </w:rPr>
            </w:pPr>
            <w:r w:rsidRPr="002460E2">
              <w:rPr>
                <w:color w:val="000000"/>
                <w:sz w:val="18"/>
                <w:szCs w:val="18"/>
                <w:lang w:val="ro-MD"/>
              </w:rPr>
              <w:t>9.</w:t>
            </w:r>
            <w:r w:rsidRPr="002460E2">
              <w:rPr>
                <w:color w:val="000000"/>
                <w:sz w:val="18"/>
                <w:szCs w:val="18"/>
                <w:lang w:val="ro-MD"/>
              </w:rPr>
              <w:tab/>
            </w:r>
            <w:r w:rsidR="00B26CDE" w:rsidRPr="002460E2">
              <w:rPr>
                <w:color w:val="000000"/>
                <w:sz w:val="18"/>
                <w:szCs w:val="18"/>
                <w:lang w:val="ro-MD"/>
              </w:rPr>
              <w:t>Prin derogare de la punctul 7, banca poate alege să calculeze cerințele de fonduri proprii pentru riscul CVA, utilizând oricare dintre abordările menționate la punctul 11, pentru tranzacțiile care sunt excluse în temeiul punctului 7, în cazul în care banca utilizează acoperiri eligibile determinate în conformitate cu punctele 119-120 pentru a diminua riscul CVA al tranzacțiilor respective. Băncile stabilesc politici pentru a preciza aplicarea și calcularea cerințelor de fonduri proprii pentru riscul CVA pentru astfel de tranzacții.</w:t>
            </w:r>
          </w:p>
          <w:p w14:paraId="6A6483C2" w14:textId="0195F75A" w:rsidR="00632557" w:rsidRPr="002460E2" w:rsidRDefault="00632557" w:rsidP="00B62E56">
            <w:pPr>
              <w:tabs>
                <w:tab w:val="left" w:pos="175"/>
              </w:tabs>
              <w:ind w:left="-43"/>
              <w:jc w:val="both"/>
              <w:rPr>
                <w:color w:val="000000"/>
                <w:sz w:val="18"/>
                <w:szCs w:val="18"/>
                <w:lang w:val="ro-MD"/>
              </w:rPr>
            </w:pPr>
          </w:p>
        </w:tc>
        <w:tc>
          <w:tcPr>
            <w:tcW w:w="1229" w:type="dxa"/>
          </w:tcPr>
          <w:p w14:paraId="2D1F9FF1" w14:textId="5699D45D" w:rsidR="00632557" w:rsidRPr="002460E2" w:rsidRDefault="002460E2" w:rsidP="00B93C1C">
            <w:pPr>
              <w:jc w:val="both"/>
              <w:rPr>
                <w:color w:val="000000"/>
                <w:sz w:val="18"/>
                <w:szCs w:val="18"/>
                <w:lang w:val="ro-MD"/>
              </w:rPr>
            </w:pPr>
            <w:r>
              <w:rPr>
                <w:sz w:val="18"/>
                <w:szCs w:val="18"/>
                <w:lang w:val="ro-MD"/>
              </w:rPr>
              <w:t>c</w:t>
            </w:r>
            <w:r w:rsidR="0087660B" w:rsidRPr="002460E2">
              <w:rPr>
                <w:sz w:val="18"/>
                <w:szCs w:val="18"/>
                <w:lang w:val="ro-MD"/>
              </w:rPr>
              <w:t>ompatibil</w:t>
            </w:r>
          </w:p>
        </w:tc>
        <w:tc>
          <w:tcPr>
            <w:tcW w:w="5292" w:type="dxa"/>
            <w:tcBorders>
              <w:top w:val="single" w:sz="4" w:space="0" w:color="auto"/>
              <w:bottom w:val="single" w:sz="4" w:space="0" w:color="auto"/>
            </w:tcBorders>
          </w:tcPr>
          <w:p w14:paraId="31479AB2" w14:textId="77777777" w:rsidR="00632557" w:rsidRPr="002460E2" w:rsidRDefault="00632557" w:rsidP="00B93C1C">
            <w:pPr>
              <w:jc w:val="both"/>
              <w:rPr>
                <w:color w:val="000000"/>
                <w:sz w:val="18"/>
                <w:szCs w:val="18"/>
                <w:lang w:val="ro-MD"/>
              </w:rPr>
            </w:pPr>
          </w:p>
        </w:tc>
      </w:tr>
      <w:tr w:rsidR="00632557" w:rsidRPr="002460E2" w14:paraId="228C034C" w14:textId="77777777" w:rsidTr="003F5B3C">
        <w:trPr>
          <w:trHeight w:val="427"/>
        </w:trPr>
        <w:tc>
          <w:tcPr>
            <w:tcW w:w="4253" w:type="dxa"/>
          </w:tcPr>
          <w:p w14:paraId="170B29E3" w14:textId="3AA838D3" w:rsidR="00632557" w:rsidRPr="002460E2" w:rsidRDefault="00632557" w:rsidP="00632557">
            <w:pPr>
              <w:rPr>
                <w:sz w:val="18"/>
                <w:szCs w:val="18"/>
                <w:lang w:val="en-US"/>
              </w:rPr>
            </w:pPr>
            <w:r w:rsidRPr="002460E2">
              <w:rPr>
                <w:sz w:val="18"/>
                <w:szCs w:val="18"/>
                <w:lang w:val="en-US"/>
              </w:rPr>
              <w:t>(4b) Instituțiile raportează autorităților lor competente rezultatele calculelor cerințelor de fonduri proprii pentru riscul CVA pentru toate tranzacțiile menționate la alineatul (4) de la prezentul articol. În sensul respectivei cerințe de raportare, instituțiile calculează cerințele de fonduri proprii pentru riscul CVA utilizând abordările relevante prevăzute la articolul 382a alineatul (1) pe care le-ar fi utilizat pentru a îndeplini o cerință de fonduri proprii pentru riscul CVA dacă tranzacțiile respective nu ar fi fost excluse din domeniul de aplicare în temeiul alineatului (4) de la prezentul articol.</w:t>
            </w:r>
          </w:p>
        </w:tc>
        <w:tc>
          <w:tcPr>
            <w:tcW w:w="3685" w:type="dxa"/>
            <w:shd w:val="clear" w:color="auto" w:fill="auto"/>
          </w:tcPr>
          <w:p w14:paraId="2805612D" w14:textId="77777777" w:rsidR="00B26CDE" w:rsidRPr="002460E2" w:rsidRDefault="00B62E56" w:rsidP="00B26CDE">
            <w:pPr>
              <w:tabs>
                <w:tab w:val="left" w:pos="317"/>
              </w:tabs>
              <w:rPr>
                <w:color w:val="000000"/>
                <w:sz w:val="18"/>
                <w:szCs w:val="18"/>
                <w:lang w:val="ro-MD"/>
              </w:rPr>
            </w:pPr>
            <w:r w:rsidRPr="002460E2">
              <w:rPr>
                <w:color w:val="000000"/>
                <w:sz w:val="18"/>
                <w:szCs w:val="18"/>
                <w:lang w:val="ro-MD"/>
              </w:rPr>
              <w:t>10.</w:t>
            </w:r>
            <w:r w:rsidR="009507AE" w:rsidRPr="002460E2">
              <w:rPr>
                <w:color w:val="000000"/>
                <w:sz w:val="18"/>
                <w:szCs w:val="18"/>
                <w:lang w:val="ro-MD"/>
              </w:rPr>
              <w:t xml:space="preserve"> </w:t>
            </w:r>
            <w:r w:rsidR="00B26CDE" w:rsidRPr="002460E2">
              <w:rPr>
                <w:color w:val="000000"/>
                <w:sz w:val="18"/>
                <w:szCs w:val="18"/>
                <w:lang w:val="ro-MD"/>
              </w:rPr>
              <w:t>Băncile raportează Băncii Naționale a Moldovei rezultatele calculelor cerințelor de fonduri proprii pentru riscul CVA pentru toate tranzacțiile menționate la punctul 7. În sensul respectivei cerințe de raportare, băncile calculează cerințele de fonduri proprii pentru riscul CVA utilizând abordările relevante prevăzute la punctul 11 pe care le-ar fi utilizat pentru a îndeplini o cerință de fonduri proprii pentru riscul CVA, în cazul în care tranzacțiile respective nu ar fi fost excluse din domeniul de aplicare în temeiul punctului 7.</w:t>
            </w:r>
          </w:p>
          <w:p w14:paraId="22529C91" w14:textId="716DC779" w:rsidR="00632557" w:rsidRPr="002460E2" w:rsidRDefault="00632557" w:rsidP="0087660B">
            <w:pPr>
              <w:tabs>
                <w:tab w:val="left" w:pos="317"/>
              </w:tabs>
              <w:ind w:left="-43"/>
              <w:jc w:val="both"/>
              <w:rPr>
                <w:color w:val="000000"/>
                <w:sz w:val="18"/>
                <w:szCs w:val="18"/>
                <w:lang w:val="ro-MD"/>
              </w:rPr>
            </w:pPr>
          </w:p>
        </w:tc>
        <w:tc>
          <w:tcPr>
            <w:tcW w:w="1229" w:type="dxa"/>
          </w:tcPr>
          <w:p w14:paraId="564D3BDE" w14:textId="2AECFA32" w:rsidR="00632557" w:rsidRPr="002460E2" w:rsidRDefault="002460E2" w:rsidP="00B93C1C">
            <w:pPr>
              <w:jc w:val="both"/>
              <w:rPr>
                <w:color w:val="000000"/>
                <w:sz w:val="18"/>
                <w:szCs w:val="18"/>
                <w:lang w:val="ro-MD"/>
              </w:rPr>
            </w:pPr>
            <w:r>
              <w:rPr>
                <w:sz w:val="18"/>
                <w:szCs w:val="18"/>
                <w:lang w:val="ro-MD"/>
              </w:rPr>
              <w:t>c</w:t>
            </w:r>
            <w:r w:rsidR="0087660B" w:rsidRPr="002460E2">
              <w:rPr>
                <w:sz w:val="18"/>
                <w:szCs w:val="18"/>
                <w:lang w:val="ro-MD"/>
              </w:rPr>
              <w:t>ompatibil</w:t>
            </w:r>
          </w:p>
        </w:tc>
        <w:tc>
          <w:tcPr>
            <w:tcW w:w="5292" w:type="dxa"/>
            <w:tcBorders>
              <w:top w:val="single" w:sz="4" w:space="0" w:color="auto"/>
              <w:bottom w:val="single" w:sz="4" w:space="0" w:color="auto"/>
            </w:tcBorders>
          </w:tcPr>
          <w:p w14:paraId="6BFEA1A4" w14:textId="77777777" w:rsidR="00632557" w:rsidRPr="002460E2" w:rsidRDefault="00632557" w:rsidP="00B93C1C">
            <w:pPr>
              <w:jc w:val="both"/>
              <w:rPr>
                <w:color w:val="000000"/>
                <w:sz w:val="18"/>
                <w:szCs w:val="18"/>
                <w:lang w:val="ro-MD"/>
              </w:rPr>
            </w:pPr>
          </w:p>
        </w:tc>
      </w:tr>
      <w:tr w:rsidR="00632557" w:rsidRPr="002460E2" w14:paraId="45122F70" w14:textId="77777777" w:rsidTr="003F5B3C">
        <w:trPr>
          <w:trHeight w:val="918"/>
        </w:trPr>
        <w:tc>
          <w:tcPr>
            <w:tcW w:w="4253" w:type="dxa"/>
          </w:tcPr>
          <w:p w14:paraId="40101CE4" w14:textId="3D49289F" w:rsidR="00632557" w:rsidRPr="002460E2" w:rsidRDefault="00632557" w:rsidP="00632557">
            <w:pPr>
              <w:rPr>
                <w:sz w:val="18"/>
                <w:szCs w:val="18"/>
                <w:lang w:val="en-US"/>
              </w:rPr>
            </w:pPr>
            <w:r w:rsidRPr="002460E2">
              <w:rPr>
                <w:sz w:val="18"/>
                <w:szCs w:val="18"/>
                <w:lang w:val="en-US"/>
              </w:rPr>
              <w:lastRenderedPageBreak/>
              <w:t>(4c) În sensul alineatului (4) literele (aa) și (b), Comisia poate adopta, prin intermediul actelor de punere în aplicare și în conformitate cu procedura de examinare prevăzute la articolul 464 alineatul (2), o decizie prin care să stabilească dacă o țară terță aplică cerințe de supraveghere prudențială și de reglementare cel puțin echivalente cu cele aplicate în Uniune.</w:t>
            </w:r>
          </w:p>
        </w:tc>
        <w:tc>
          <w:tcPr>
            <w:tcW w:w="3685" w:type="dxa"/>
            <w:shd w:val="clear" w:color="auto" w:fill="auto"/>
          </w:tcPr>
          <w:p w14:paraId="45312DE5" w14:textId="77777777" w:rsidR="00632557" w:rsidRPr="002460E2" w:rsidRDefault="00632557" w:rsidP="00E1613D">
            <w:pPr>
              <w:tabs>
                <w:tab w:val="left" w:pos="540"/>
              </w:tabs>
              <w:ind w:left="-43"/>
              <w:jc w:val="both"/>
              <w:rPr>
                <w:color w:val="000000"/>
                <w:sz w:val="18"/>
                <w:szCs w:val="18"/>
                <w:lang w:val="ro-MD"/>
              </w:rPr>
            </w:pPr>
          </w:p>
        </w:tc>
        <w:tc>
          <w:tcPr>
            <w:tcW w:w="1229" w:type="dxa"/>
          </w:tcPr>
          <w:p w14:paraId="0ABA8695" w14:textId="108023B1" w:rsidR="00632557" w:rsidRPr="002460E2" w:rsidRDefault="002460E2" w:rsidP="00B93C1C">
            <w:pPr>
              <w:jc w:val="both"/>
              <w:rPr>
                <w:color w:val="000000"/>
                <w:sz w:val="18"/>
                <w:szCs w:val="18"/>
                <w:lang w:val="ro-MD"/>
              </w:rPr>
            </w:pPr>
            <w:r w:rsidRPr="002460E2">
              <w:rPr>
                <w:color w:val="000000"/>
                <w:sz w:val="18"/>
                <w:szCs w:val="18"/>
              </w:rPr>
              <w:t>prevederi UE neaplicabile</w:t>
            </w:r>
          </w:p>
        </w:tc>
        <w:tc>
          <w:tcPr>
            <w:tcW w:w="5292" w:type="dxa"/>
            <w:tcBorders>
              <w:top w:val="single" w:sz="4" w:space="0" w:color="auto"/>
              <w:bottom w:val="single" w:sz="4" w:space="0" w:color="auto"/>
            </w:tcBorders>
          </w:tcPr>
          <w:p w14:paraId="30C9B42F" w14:textId="2CD2C2EC" w:rsidR="00632557" w:rsidRPr="002460E2" w:rsidRDefault="0087660B" w:rsidP="00B93C1C">
            <w:pPr>
              <w:jc w:val="both"/>
              <w:rPr>
                <w:color w:val="000000"/>
                <w:sz w:val="18"/>
                <w:szCs w:val="18"/>
                <w:lang w:val="ro-MD"/>
              </w:rPr>
            </w:pPr>
            <w:r w:rsidRPr="002460E2">
              <w:rPr>
                <w:sz w:val="18"/>
                <w:szCs w:val="18"/>
                <w:lang w:val="ro-MD"/>
              </w:rPr>
              <w:t>Se aplică țărilor UE.</w:t>
            </w:r>
          </w:p>
        </w:tc>
      </w:tr>
      <w:tr w:rsidR="008D7F28" w:rsidRPr="002460E2" w14:paraId="7CB71B9B" w14:textId="77777777" w:rsidTr="003F5B3C">
        <w:trPr>
          <w:trHeight w:val="918"/>
        </w:trPr>
        <w:tc>
          <w:tcPr>
            <w:tcW w:w="4253" w:type="dxa"/>
          </w:tcPr>
          <w:p w14:paraId="2ED4F217" w14:textId="019DE109" w:rsidR="008D7F28" w:rsidRPr="002460E2" w:rsidRDefault="008D7F28" w:rsidP="008D7F28">
            <w:pPr>
              <w:rPr>
                <w:sz w:val="18"/>
                <w:szCs w:val="18"/>
                <w:lang w:val="en-US"/>
              </w:rPr>
            </w:pPr>
            <w:r w:rsidRPr="002460E2">
              <w:rPr>
                <w:sz w:val="18"/>
                <w:szCs w:val="18"/>
                <w:lang w:val="en-US"/>
              </w:rPr>
              <w:t>(5) ABE reanalizează până la 1 ianuarie 2015 și ulterior la fiecare doi ani, ținând cont de evoluțiile în materie de reglementare pe plan internațional și incluzând metodologii potențiale referitoare la calibrarea și pragurile pentru aplicarea costurilor cerințelor de capital corespunzătoare riscului CVA contrapărților nefinanciare din țări terțe.</w:t>
            </w:r>
          </w:p>
          <w:p w14:paraId="3A5828B5" w14:textId="77777777" w:rsidR="008D7F28" w:rsidRPr="002460E2" w:rsidRDefault="008D7F28" w:rsidP="008D7F28">
            <w:pPr>
              <w:rPr>
                <w:sz w:val="18"/>
                <w:szCs w:val="18"/>
                <w:lang w:val="en-US"/>
              </w:rPr>
            </w:pPr>
            <w:r w:rsidRPr="002460E2">
              <w:rPr>
                <w:sz w:val="18"/>
                <w:szCs w:val="18"/>
                <w:lang w:val="en-US"/>
              </w:rPr>
              <w:t>ABE elaborează, în colaborare cu AEVMP, proiecte de standarde tehnice de reglementare pentru a specifica procedurile de excludere a tranzacțiilor cu contrapărți nefinanciare stabilite într-o țară terță de la cerința de fonduri proprii pentru riscul CVA.</w:t>
            </w:r>
          </w:p>
          <w:p w14:paraId="631E851D" w14:textId="77777777" w:rsidR="008D7F28" w:rsidRPr="002460E2" w:rsidRDefault="008D7F28" w:rsidP="008D7F28">
            <w:pPr>
              <w:rPr>
                <w:sz w:val="18"/>
                <w:szCs w:val="18"/>
                <w:lang w:val="en-US"/>
              </w:rPr>
            </w:pPr>
            <w:r w:rsidRPr="002460E2">
              <w:rPr>
                <w:sz w:val="18"/>
                <w:szCs w:val="18"/>
                <w:lang w:val="en-US"/>
              </w:rPr>
              <w:t>În termen de șase luni de la data reanalizării menționate la primul paragraf, ABE transmite proiectele respective de standarde tehnice de reglementare</w:t>
            </w:r>
          </w:p>
          <w:p w14:paraId="4425A1A0" w14:textId="60A2E94D" w:rsidR="008D7F28" w:rsidRPr="002460E2" w:rsidRDefault="008D7F28" w:rsidP="008D7F28">
            <w:pPr>
              <w:rPr>
                <w:sz w:val="18"/>
                <w:szCs w:val="18"/>
                <w:lang w:val="en-US"/>
              </w:rPr>
            </w:pPr>
            <w:r w:rsidRPr="002460E2">
              <w:rPr>
                <w:sz w:val="18"/>
                <w:szCs w:val="18"/>
                <w:lang w:val="en-US"/>
              </w:rPr>
              <w:t>Se deleagă Comisiei competența de a adopta aceste standarde tehnice de reglementare menționate la al doilea paragraf în conformitate cu articolele 10-14 din Regulamentul (UE) nr. 1093/2010.</w:t>
            </w:r>
          </w:p>
        </w:tc>
        <w:tc>
          <w:tcPr>
            <w:tcW w:w="3685" w:type="dxa"/>
            <w:shd w:val="clear" w:color="auto" w:fill="auto"/>
          </w:tcPr>
          <w:p w14:paraId="72B63EC1" w14:textId="16E54E77" w:rsidR="008D7F28" w:rsidRPr="002460E2" w:rsidRDefault="008D7F28" w:rsidP="008D7F28">
            <w:pPr>
              <w:tabs>
                <w:tab w:val="left" w:pos="540"/>
              </w:tabs>
              <w:ind w:left="-43"/>
              <w:jc w:val="both"/>
              <w:rPr>
                <w:color w:val="000000"/>
                <w:sz w:val="18"/>
                <w:szCs w:val="18"/>
                <w:lang w:val="ro-MD"/>
              </w:rPr>
            </w:pPr>
          </w:p>
        </w:tc>
        <w:tc>
          <w:tcPr>
            <w:tcW w:w="1229" w:type="dxa"/>
          </w:tcPr>
          <w:p w14:paraId="549264D4" w14:textId="39853AC9" w:rsidR="008D7F28" w:rsidRPr="002460E2" w:rsidRDefault="002460E2" w:rsidP="008D7F28">
            <w:pPr>
              <w:jc w:val="both"/>
              <w:rPr>
                <w:sz w:val="18"/>
                <w:szCs w:val="18"/>
                <w:lang w:val="ro-MD"/>
              </w:rPr>
            </w:pPr>
            <w:r w:rsidRPr="002460E2">
              <w:rPr>
                <w:color w:val="000000"/>
                <w:sz w:val="18"/>
                <w:szCs w:val="18"/>
              </w:rPr>
              <w:t>prevederi UE neaplicabile</w:t>
            </w:r>
          </w:p>
        </w:tc>
        <w:tc>
          <w:tcPr>
            <w:tcW w:w="5292" w:type="dxa"/>
            <w:tcBorders>
              <w:top w:val="single" w:sz="4" w:space="0" w:color="auto"/>
              <w:bottom w:val="single" w:sz="4" w:space="0" w:color="auto"/>
            </w:tcBorders>
          </w:tcPr>
          <w:p w14:paraId="31258706" w14:textId="40B3553F" w:rsidR="008D7F28" w:rsidRPr="002460E2" w:rsidRDefault="008D7F28" w:rsidP="008D7F28">
            <w:pPr>
              <w:jc w:val="both"/>
              <w:rPr>
                <w:sz w:val="18"/>
                <w:szCs w:val="18"/>
                <w:lang w:val="ro-MD"/>
              </w:rPr>
            </w:pPr>
            <w:r w:rsidRPr="002460E2">
              <w:rPr>
                <w:sz w:val="18"/>
                <w:szCs w:val="18"/>
                <w:lang w:val="ro-MD"/>
              </w:rPr>
              <w:t>Nu se transpune, deoarece ține de competența ABE.</w:t>
            </w:r>
          </w:p>
        </w:tc>
      </w:tr>
      <w:tr w:rsidR="008D7F28" w:rsidRPr="002460E2" w14:paraId="4E2E95B0" w14:textId="77777777" w:rsidTr="003F5B3C">
        <w:trPr>
          <w:trHeight w:val="918"/>
        </w:trPr>
        <w:tc>
          <w:tcPr>
            <w:tcW w:w="4253" w:type="dxa"/>
          </w:tcPr>
          <w:p w14:paraId="7E117D65" w14:textId="77777777" w:rsidR="008D7F28" w:rsidRPr="002460E2" w:rsidRDefault="008D7F28" w:rsidP="008D7F28">
            <w:pPr>
              <w:rPr>
                <w:sz w:val="18"/>
                <w:szCs w:val="18"/>
                <w:lang w:val="en-US"/>
              </w:rPr>
            </w:pPr>
            <w:r w:rsidRPr="002460E2">
              <w:rPr>
                <w:sz w:val="18"/>
                <w:szCs w:val="18"/>
                <w:lang w:val="en-US"/>
              </w:rPr>
              <w:t>(6) ABE elaborează proiecte de standarde tehnice de reglementare pentru a preciza condițiile și criteriile pe care instituțiile trebuie să le utilizeze pentru a evalua dacă expunerile la riscul CVA care decurg din operațiuni de finanțare prin instrumente financiare evaluate la valoarea justă sunt semnificative, precum și frecvența evaluării respective.</w:t>
            </w:r>
          </w:p>
          <w:p w14:paraId="00048CF2" w14:textId="77777777" w:rsidR="008D7F28" w:rsidRPr="002460E2" w:rsidRDefault="008D7F28" w:rsidP="008D7F28">
            <w:pPr>
              <w:rPr>
                <w:sz w:val="18"/>
                <w:szCs w:val="18"/>
                <w:lang w:val="en-US"/>
              </w:rPr>
            </w:pPr>
            <w:r w:rsidRPr="002460E2">
              <w:rPr>
                <w:sz w:val="18"/>
                <w:szCs w:val="18"/>
                <w:lang w:val="en-US"/>
              </w:rPr>
              <w:t>ABE prezintă Comisiei aceste proiecte de standarde tehnice de reglementare până la 10 iulie 2026.</w:t>
            </w:r>
          </w:p>
          <w:p w14:paraId="5C81F17C" w14:textId="15661F05" w:rsidR="008D7F28" w:rsidRPr="002460E2" w:rsidRDefault="008D7F28" w:rsidP="008D7F28">
            <w:pPr>
              <w:rPr>
                <w:sz w:val="18"/>
                <w:szCs w:val="18"/>
                <w:lang w:val="en-US"/>
              </w:rPr>
            </w:pPr>
            <w:r w:rsidRPr="002460E2">
              <w:rPr>
                <w:sz w:val="18"/>
                <w:szCs w:val="18"/>
                <w:lang w:val="en-US"/>
              </w:rPr>
              <w:lastRenderedPageBreak/>
              <w:t>Se deleagă Comisiei competența de a completa prezentul regulament prin adoptarea standardelor tehnice de reglementare menționate la primul paragraf de la prezentul alineat în conformitate cu articolele 10-14 din Regulamentul (UE) nr. 1093/2010.</w:t>
            </w:r>
          </w:p>
        </w:tc>
        <w:tc>
          <w:tcPr>
            <w:tcW w:w="3685" w:type="dxa"/>
            <w:shd w:val="clear" w:color="auto" w:fill="auto"/>
          </w:tcPr>
          <w:p w14:paraId="001A0F8F" w14:textId="77777777" w:rsidR="008D7F28" w:rsidRPr="002460E2" w:rsidRDefault="008D7F28" w:rsidP="008D7F28">
            <w:pPr>
              <w:tabs>
                <w:tab w:val="left" w:pos="540"/>
              </w:tabs>
              <w:ind w:left="-43"/>
              <w:jc w:val="both"/>
              <w:rPr>
                <w:color w:val="000000"/>
                <w:sz w:val="18"/>
                <w:szCs w:val="18"/>
                <w:lang w:val="ro-MD"/>
              </w:rPr>
            </w:pPr>
          </w:p>
        </w:tc>
        <w:tc>
          <w:tcPr>
            <w:tcW w:w="1229" w:type="dxa"/>
          </w:tcPr>
          <w:p w14:paraId="02D39328" w14:textId="5FE3EC78" w:rsidR="008D7F28" w:rsidRPr="002460E2" w:rsidRDefault="002460E2" w:rsidP="008D7F28">
            <w:pPr>
              <w:jc w:val="both"/>
              <w:rPr>
                <w:sz w:val="16"/>
                <w:szCs w:val="16"/>
                <w:lang w:val="ro-MD"/>
              </w:rPr>
            </w:pPr>
            <w:r w:rsidRPr="002460E2">
              <w:rPr>
                <w:color w:val="333333"/>
                <w:sz w:val="16"/>
                <w:szCs w:val="16"/>
              </w:rPr>
              <w:t>prevederi UE neaplicabile</w:t>
            </w:r>
          </w:p>
        </w:tc>
        <w:tc>
          <w:tcPr>
            <w:tcW w:w="5292" w:type="dxa"/>
            <w:tcBorders>
              <w:top w:val="single" w:sz="4" w:space="0" w:color="auto"/>
              <w:bottom w:val="single" w:sz="4" w:space="0" w:color="auto"/>
            </w:tcBorders>
          </w:tcPr>
          <w:p w14:paraId="09C10D79" w14:textId="67C1EA8D" w:rsidR="008D7F28" w:rsidRPr="002460E2" w:rsidRDefault="008D7F28" w:rsidP="008D7F28">
            <w:pPr>
              <w:jc w:val="both"/>
              <w:rPr>
                <w:sz w:val="18"/>
                <w:szCs w:val="18"/>
                <w:lang w:val="ro-MD"/>
              </w:rPr>
            </w:pPr>
            <w:r w:rsidRPr="002460E2">
              <w:rPr>
                <w:sz w:val="18"/>
                <w:szCs w:val="18"/>
                <w:lang w:val="ro-MD"/>
              </w:rPr>
              <w:t>Nu se transpune, deoarece ține de competența ABE.</w:t>
            </w:r>
          </w:p>
        </w:tc>
      </w:tr>
      <w:tr w:rsidR="008D7F28" w:rsidRPr="002460E2" w14:paraId="07D16816" w14:textId="77777777" w:rsidTr="003F5B3C">
        <w:trPr>
          <w:trHeight w:val="918"/>
        </w:trPr>
        <w:tc>
          <w:tcPr>
            <w:tcW w:w="4253" w:type="dxa"/>
          </w:tcPr>
          <w:p w14:paraId="0A4CAED3" w14:textId="77777777" w:rsidR="008D7F28" w:rsidRPr="002460E2" w:rsidRDefault="008D7F28" w:rsidP="008D7F28">
            <w:pPr>
              <w:rPr>
                <w:i/>
                <w:iCs/>
                <w:sz w:val="18"/>
                <w:szCs w:val="18"/>
                <w:lang w:val="ro-MD"/>
              </w:rPr>
            </w:pPr>
            <w:r w:rsidRPr="002460E2">
              <w:rPr>
                <w:i/>
                <w:iCs/>
                <w:sz w:val="18"/>
                <w:szCs w:val="18"/>
                <w:lang w:val="ro-MD"/>
              </w:rPr>
              <w:t>Articolul 382a</w:t>
            </w:r>
          </w:p>
          <w:p w14:paraId="3ADB85A8" w14:textId="77777777" w:rsidR="008D7F28" w:rsidRPr="002460E2" w:rsidRDefault="008D7F28" w:rsidP="008D7F28">
            <w:pPr>
              <w:rPr>
                <w:b/>
                <w:bCs/>
                <w:sz w:val="18"/>
                <w:szCs w:val="18"/>
                <w:lang w:val="ro-MD"/>
              </w:rPr>
            </w:pPr>
            <w:r w:rsidRPr="002460E2">
              <w:rPr>
                <w:b/>
                <w:bCs/>
                <w:sz w:val="18"/>
                <w:szCs w:val="18"/>
                <w:lang w:val="ro-MD"/>
              </w:rPr>
              <w:t>Abordări pentru calculul cerințelor de fonduri proprii pentru riscul CVA</w:t>
            </w:r>
          </w:p>
          <w:p w14:paraId="1E3E2565" w14:textId="31F63232" w:rsidR="008D7F28" w:rsidRPr="002460E2" w:rsidRDefault="008D7F28" w:rsidP="008D7F28">
            <w:pPr>
              <w:rPr>
                <w:sz w:val="18"/>
                <w:szCs w:val="18"/>
                <w:lang w:val="ro-MD"/>
              </w:rPr>
            </w:pPr>
            <w:r w:rsidRPr="002460E2">
              <w:rPr>
                <w:sz w:val="18"/>
                <w:szCs w:val="18"/>
                <w:lang w:val="ro-MD"/>
              </w:rPr>
              <w:t>(1) O instituție calculează cerințele de fonduri proprii pentru riscul CVA pentru toate tranzacțiile menționate la articolul 382 în conformitate cu următoarele abordări:</w:t>
            </w:r>
          </w:p>
          <w:p w14:paraId="5337F576" w14:textId="4CF079C3" w:rsidR="008D7F28" w:rsidRPr="002460E2" w:rsidRDefault="008D7F28" w:rsidP="008D7F28">
            <w:pPr>
              <w:rPr>
                <w:sz w:val="18"/>
                <w:szCs w:val="18"/>
                <w:lang w:val="ro-MD"/>
              </w:rPr>
            </w:pPr>
            <w:r w:rsidRPr="002460E2">
              <w:rPr>
                <w:sz w:val="18"/>
                <w:szCs w:val="18"/>
                <w:lang w:val="ro-MD"/>
              </w:rPr>
              <w:t>(a) abordarea standardizată prevăzută la articolul 383, în cazul în care instituția a primit aprobarea autorității competente de a utiliza abordarea respectivă;</w:t>
            </w:r>
          </w:p>
          <w:p w14:paraId="71565E5E" w14:textId="407C0043" w:rsidR="008D7F28" w:rsidRPr="002460E2" w:rsidRDefault="008D7F28" w:rsidP="008D7F28">
            <w:pPr>
              <w:rPr>
                <w:sz w:val="18"/>
                <w:szCs w:val="18"/>
                <w:lang w:val="ro-MD"/>
              </w:rPr>
            </w:pPr>
            <w:r w:rsidRPr="002460E2">
              <w:rPr>
                <w:sz w:val="18"/>
                <w:szCs w:val="18"/>
                <w:lang w:val="ro-MD"/>
              </w:rPr>
              <w:t>(b) abordarea de bază prevăzută la articolul 384;</w:t>
            </w:r>
          </w:p>
          <w:p w14:paraId="66C8E41A" w14:textId="6A753500" w:rsidR="008D7F28" w:rsidRPr="002460E2" w:rsidRDefault="008D7F28" w:rsidP="008D7F28">
            <w:pPr>
              <w:rPr>
                <w:sz w:val="18"/>
                <w:szCs w:val="18"/>
                <w:lang w:val="ro-MD"/>
              </w:rPr>
            </w:pPr>
            <w:r w:rsidRPr="002460E2">
              <w:rPr>
                <w:sz w:val="18"/>
                <w:szCs w:val="18"/>
                <w:lang w:val="ro-MD"/>
              </w:rPr>
              <w:t>(c) abordarea simplificată prevăzută la articolul 385, cu condiția ca instituția să îndeplinească condițiile prevăzute la alineatul (1) de la articolul respectiv.</w:t>
            </w:r>
          </w:p>
        </w:tc>
        <w:tc>
          <w:tcPr>
            <w:tcW w:w="3685" w:type="dxa"/>
            <w:shd w:val="clear" w:color="auto" w:fill="auto"/>
          </w:tcPr>
          <w:p w14:paraId="4BD568E2" w14:textId="54A68738" w:rsidR="008D7F28" w:rsidRPr="002460E2" w:rsidRDefault="008D7F28" w:rsidP="008D7F28">
            <w:pPr>
              <w:tabs>
                <w:tab w:val="left" w:pos="540"/>
              </w:tabs>
              <w:ind w:left="-43"/>
              <w:jc w:val="center"/>
              <w:rPr>
                <w:b/>
                <w:bCs/>
                <w:color w:val="000000"/>
                <w:sz w:val="18"/>
                <w:szCs w:val="18"/>
                <w:lang w:val="ro-MD"/>
              </w:rPr>
            </w:pPr>
            <w:r w:rsidRPr="002460E2">
              <w:rPr>
                <w:b/>
                <w:bCs/>
                <w:color w:val="000000"/>
                <w:sz w:val="18"/>
                <w:szCs w:val="18"/>
                <w:lang w:val="ro-MD"/>
              </w:rPr>
              <w:t>Capitolul I</w:t>
            </w:r>
            <w:r w:rsidR="001373DE" w:rsidRPr="002460E2">
              <w:rPr>
                <w:b/>
                <w:bCs/>
                <w:color w:val="000000"/>
                <w:sz w:val="18"/>
                <w:szCs w:val="18"/>
                <w:lang w:val="ro-MD"/>
              </w:rPr>
              <w:t>II</w:t>
            </w:r>
          </w:p>
          <w:p w14:paraId="552585B6" w14:textId="77777777" w:rsidR="008D7F28" w:rsidRPr="002460E2" w:rsidRDefault="008D7F28" w:rsidP="008D7F28">
            <w:pPr>
              <w:tabs>
                <w:tab w:val="left" w:pos="540"/>
              </w:tabs>
              <w:ind w:left="-43"/>
              <w:jc w:val="center"/>
              <w:rPr>
                <w:b/>
                <w:bCs/>
                <w:color w:val="000000"/>
                <w:sz w:val="18"/>
                <w:szCs w:val="18"/>
                <w:lang w:val="ro-MD"/>
              </w:rPr>
            </w:pPr>
            <w:r w:rsidRPr="002460E2">
              <w:rPr>
                <w:b/>
                <w:bCs/>
                <w:color w:val="000000"/>
                <w:sz w:val="18"/>
                <w:szCs w:val="18"/>
                <w:lang w:val="ro-MD"/>
              </w:rPr>
              <w:t>Abordări pentru calculul cerințelor de fonduri proprii pentru riscul CVA</w:t>
            </w:r>
          </w:p>
          <w:p w14:paraId="1B876844" w14:textId="77777777" w:rsidR="008D7F28" w:rsidRPr="002460E2" w:rsidRDefault="008D7F28" w:rsidP="008D7F28">
            <w:pPr>
              <w:tabs>
                <w:tab w:val="left" w:pos="540"/>
              </w:tabs>
              <w:ind w:left="-43"/>
              <w:jc w:val="both"/>
              <w:rPr>
                <w:color w:val="000000"/>
                <w:sz w:val="18"/>
                <w:szCs w:val="18"/>
                <w:lang w:val="ro-MD"/>
              </w:rPr>
            </w:pPr>
          </w:p>
          <w:p w14:paraId="5416BE0D" w14:textId="3DC6CC65" w:rsidR="00B26CDE" w:rsidRPr="00B26CDE" w:rsidRDefault="00B26CDE" w:rsidP="00B26CDE">
            <w:pPr>
              <w:tabs>
                <w:tab w:val="left" w:pos="317"/>
              </w:tabs>
              <w:jc w:val="both"/>
              <w:rPr>
                <w:color w:val="000000"/>
                <w:sz w:val="18"/>
                <w:szCs w:val="18"/>
                <w:lang w:val="ro-MD"/>
              </w:rPr>
            </w:pPr>
            <w:r w:rsidRPr="002460E2">
              <w:rPr>
                <w:color w:val="000000"/>
                <w:sz w:val="18"/>
                <w:szCs w:val="18"/>
                <w:lang w:val="ro-MD"/>
              </w:rPr>
              <w:t xml:space="preserve">11. </w:t>
            </w:r>
            <w:r w:rsidRPr="00B26CDE">
              <w:rPr>
                <w:color w:val="000000"/>
                <w:sz w:val="18"/>
                <w:szCs w:val="18"/>
                <w:lang w:val="ro-MD"/>
              </w:rPr>
              <w:t>Banca calculează cerințele de fonduri proprii pentru riscul CVA pentru toate tranzacțiile menționate la punctele 4-10 în conformitate cu următoarele abordări:</w:t>
            </w:r>
          </w:p>
          <w:p w14:paraId="0785D44A" w14:textId="138553A2" w:rsidR="00B26CDE" w:rsidRPr="00B26CDE" w:rsidRDefault="00B26CDE" w:rsidP="00B26CDE">
            <w:pPr>
              <w:tabs>
                <w:tab w:val="left" w:pos="317"/>
              </w:tabs>
              <w:jc w:val="both"/>
              <w:rPr>
                <w:color w:val="000000"/>
                <w:sz w:val="18"/>
                <w:szCs w:val="18"/>
                <w:lang w:val="ro-MD"/>
              </w:rPr>
            </w:pPr>
            <w:bookmarkStart w:id="1" w:name="_Hlk203662942"/>
            <w:r w:rsidRPr="002460E2">
              <w:rPr>
                <w:color w:val="000000"/>
                <w:sz w:val="18"/>
                <w:szCs w:val="18"/>
                <w:lang w:val="ro-MD"/>
              </w:rPr>
              <w:t xml:space="preserve">11.1. </w:t>
            </w:r>
            <w:r w:rsidRPr="00B26CDE">
              <w:rPr>
                <w:color w:val="000000"/>
                <w:sz w:val="18"/>
                <w:szCs w:val="18"/>
                <w:lang w:val="ro-MD"/>
              </w:rPr>
              <w:t xml:space="preserve">abordarea standardizată </w:t>
            </w:r>
            <w:bookmarkEnd w:id="1"/>
            <w:r w:rsidRPr="00B26CDE">
              <w:rPr>
                <w:color w:val="000000"/>
                <w:sz w:val="18"/>
                <w:szCs w:val="18"/>
                <w:lang w:val="ro-MD"/>
              </w:rPr>
              <w:t>prevăzută la punctele 17-20, în cazul în care banca a primit aprobarea prealabilă a Băncii Naționale a Moldovei de a utiliza abordarea respectivă;</w:t>
            </w:r>
          </w:p>
          <w:p w14:paraId="342DCD03" w14:textId="48C8FB29" w:rsidR="00B26CDE" w:rsidRPr="00B26CDE" w:rsidRDefault="00B26CDE" w:rsidP="00B26CDE">
            <w:pPr>
              <w:tabs>
                <w:tab w:val="left" w:pos="317"/>
              </w:tabs>
              <w:jc w:val="both"/>
              <w:rPr>
                <w:color w:val="000000"/>
                <w:sz w:val="18"/>
                <w:szCs w:val="18"/>
                <w:lang w:val="ro-MD"/>
              </w:rPr>
            </w:pPr>
            <w:r w:rsidRPr="002460E2">
              <w:rPr>
                <w:color w:val="000000"/>
                <w:sz w:val="18"/>
                <w:szCs w:val="18"/>
                <w:lang w:val="ro-MD"/>
              </w:rPr>
              <w:t xml:space="preserve">11.2. </w:t>
            </w:r>
            <w:r w:rsidRPr="00B26CDE">
              <w:rPr>
                <w:color w:val="000000"/>
                <w:sz w:val="18"/>
                <w:szCs w:val="18"/>
                <w:lang w:val="ro-MD"/>
              </w:rPr>
              <w:t>abordarea de bază prevăzută la punctele 113-115;</w:t>
            </w:r>
          </w:p>
          <w:p w14:paraId="5C1EB36C" w14:textId="6EB2DE97" w:rsidR="00B26CDE" w:rsidRPr="00B26CDE" w:rsidRDefault="00B26CDE" w:rsidP="00B26CDE">
            <w:pPr>
              <w:tabs>
                <w:tab w:val="left" w:pos="317"/>
              </w:tabs>
              <w:jc w:val="both"/>
              <w:rPr>
                <w:color w:val="000000"/>
                <w:sz w:val="18"/>
                <w:szCs w:val="18"/>
                <w:lang w:val="ro-MD"/>
              </w:rPr>
            </w:pPr>
            <w:r w:rsidRPr="002460E2">
              <w:rPr>
                <w:color w:val="000000"/>
                <w:sz w:val="18"/>
                <w:szCs w:val="18"/>
                <w:lang w:val="ro-MD"/>
              </w:rPr>
              <w:t xml:space="preserve">11.3. </w:t>
            </w:r>
            <w:r w:rsidRPr="00B26CDE">
              <w:rPr>
                <w:color w:val="000000"/>
                <w:sz w:val="18"/>
                <w:szCs w:val="18"/>
                <w:lang w:val="ro-MD"/>
              </w:rPr>
              <w:t>abordarea simplificată prevăzută la punctele 107-109, cu condiția ca banca să îndeplinească condițiile prevăzute la punctul 116.</w:t>
            </w:r>
          </w:p>
          <w:p w14:paraId="43E394C8" w14:textId="579040E7" w:rsidR="008D7F28" w:rsidRPr="002460E2" w:rsidRDefault="008D7F28" w:rsidP="008D7F28">
            <w:pPr>
              <w:tabs>
                <w:tab w:val="left" w:pos="540"/>
              </w:tabs>
              <w:ind w:left="-43"/>
              <w:jc w:val="both"/>
              <w:rPr>
                <w:color w:val="000000"/>
                <w:sz w:val="18"/>
                <w:szCs w:val="18"/>
                <w:lang w:val="ro-MD"/>
              </w:rPr>
            </w:pPr>
          </w:p>
        </w:tc>
        <w:tc>
          <w:tcPr>
            <w:tcW w:w="1229" w:type="dxa"/>
          </w:tcPr>
          <w:p w14:paraId="0CCFA69C" w14:textId="0EA7ADCB" w:rsidR="008D7F28" w:rsidRPr="002460E2" w:rsidRDefault="002460E2"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5375C02" w14:textId="64FE77F3" w:rsidR="008D7F28" w:rsidRPr="002460E2" w:rsidRDefault="008D7F28" w:rsidP="00B26CDE">
            <w:pPr>
              <w:rPr>
                <w:sz w:val="18"/>
                <w:szCs w:val="18"/>
                <w:lang w:val="ro-RO"/>
              </w:rPr>
            </w:pPr>
          </w:p>
        </w:tc>
      </w:tr>
      <w:tr w:rsidR="008D7F28" w:rsidRPr="002460E2" w14:paraId="6D98FB3E" w14:textId="77777777" w:rsidTr="003F5B3C">
        <w:trPr>
          <w:trHeight w:val="918"/>
        </w:trPr>
        <w:tc>
          <w:tcPr>
            <w:tcW w:w="4253" w:type="dxa"/>
          </w:tcPr>
          <w:p w14:paraId="40309310" w14:textId="7E8FA170" w:rsidR="008D7F28" w:rsidRPr="002460E2" w:rsidRDefault="008D7F28" w:rsidP="008D7F28">
            <w:pPr>
              <w:rPr>
                <w:sz w:val="18"/>
                <w:szCs w:val="18"/>
                <w:lang w:val="ro-MD"/>
              </w:rPr>
            </w:pPr>
            <w:r w:rsidRPr="002460E2">
              <w:rPr>
                <w:sz w:val="18"/>
                <w:szCs w:val="18"/>
                <w:lang w:val="ro-MD"/>
              </w:rPr>
              <w:t>(2) O instituție nu utilizează abordarea menționată la alineatul (1) litera (c) în combinație cu abordarea menționată la litera (a) sau (b) de la alineatul respectiv.</w:t>
            </w:r>
          </w:p>
        </w:tc>
        <w:tc>
          <w:tcPr>
            <w:tcW w:w="3685" w:type="dxa"/>
            <w:shd w:val="clear" w:color="auto" w:fill="auto"/>
          </w:tcPr>
          <w:p w14:paraId="29909C14" w14:textId="77777777" w:rsidR="00B26CDE" w:rsidRPr="002460E2" w:rsidRDefault="008D7F28" w:rsidP="00B26CDE">
            <w:pPr>
              <w:tabs>
                <w:tab w:val="left" w:pos="317"/>
              </w:tabs>
              <w:rPr>
                <w:color w:val="000000"/>
                <w:sz w:val="18"/>
                <w:szCs w:val="18"/>
                <w:lang w:val="ro-MD"/>
              </w:rPr>
            </w:pPr>
            <w:r w:rsidRPr="002460E2">
              <w:rPr>
                <w:color w:val="000000"/>
                <w:sz w:val="18"/>
                <w:szCs w:val="18"/>
                <w:lang w:val="ro-MD"/>
              </w:rPr>
              <w:t>12.</w:t>
            </w:r>
            <w:r w:rsidRPr="002460E2">
              <w:rPr>
                <w:color w:val="000000"/>
                <w:sz w:val="18"/>
                <w:szCs w:val="18"/>
                <w:lang w:val="ro-MD"/>
              </w:rPr>
              <w:tab/>
            </w:r>
            <w:r w:rsidR="00B26CDE" w:rsidRPr="002460E2">
              <w:rPr>
                <w:color w:val="000000"/>
                <w:sz w:val="18"/>
                <w:szCs w:val="18"/>
                <w:lang w:val="ro-MD"/>
              </w:rPr>
              <w:t xml:space="preserve">Banca nu utilizează abordarea menționată la subpunctul 11.3. în combinație cu abordarea menționată la </w:t>
            </w:r>
            <w:bookmarkStart w:id="2" w:name="_Hlk196224886"/>
            <w:r w:rsidR="00B26CDE" w:rsidRPr="002460E2">
              <w:rPr>
                <w:color w:val="000000"/>
                <w:sz w:val="18"/>
                <w:szCs w:val="18"/>
                <w:lang w:val="ro-MD"/>
              </w:rPr>
              <w:t xml:space="preserve">subpunctul 11.1. </w:t>
            </w:r>
            <w:bookmarkEnd w:id="2"/>
            <w:r w:rsidR="00B26CDE" w:rsidRPr="002460E2">
              <w:rPr>
                <w:color w:val="000000"/>
                <w:sz w:val="18"/>
                <w:szCs w:val="18"/>
                <w:lang w:val="ro-MD"/>
              </w:rPr>
              <w:t>sau 11.2.</w:t>
            </w:r>
          </w:p>
          <w:p w14:paraId="2286B62A" w14:textId="2BC08568" w:rsidR="008D7F28" w:rsidRPr="002460E2" w:rsidRDefault="008D7F28" w:rsidP="008D7F28">
            <w:pPr>
              <w:tabs>
                <w:tab w:val="left" w:pos="317"/>
              </w:tabs>
              <w:ind w:left="-43"/>
              <w:jc w:val="both"/>
              <w:rPr>
                <w:color w:val="000000"/>
                <w:sz w:val="18"/>
                <w:szCs w:val="18"/>
                <w:lang w:val="ro-MD"/>
              </w:rPr>
            </w:pPr>
          </w:p>
        </w:tc>
        <w:tc>
          <w:tcPr>
            <w:tcW w:w="1229" w:type="dxa"/>
          </w:tcPr>
          <w:p w14:paraId="25072B92" w14:textId="3E80227A" w:rsidR="008D7F28" w:rsidRPr="002460E2" w:rsidRDefault="002460E2"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0F5ACED6" w14:textId="5FADF816" w:rsidR="008D7F28" w:rsidRPr="002460E2" w:rsidRDefault="008D7F28" w:rsidP="00B26CDE">
            <w:pPr>
              <w:rPr>
                <w:sz w:val="18"/>
                <w:szCs w:val="18"/>
                <w:lang w:val="ro-RO"/>
              </w:rPr>
            </w:pPr>
          </w:p>
        </w:tc>
      </w:tr>
      <w:tr w:rsidR="008D7F28" w:rsidRPr="002460E2" w14:paraId="7463B36B" w14:textId="77777777" w:rsidTr="003F5B3C">
        <w:trPr>
          <w:trHeight w:val="918"/>
        </w:trPr>
        <w:tc>
          <w:tcPr>
            <w:tcW w:w="4253" w:type="dxa"/>
          </w:tcPr>
          <w:p w14:paraId="776A9A67" w14:textId="77777777" w:rsidR="008D7F28" w:rsidRPr="002460E2" w:rsidRDefault="008D7F28" w:rsidP="008D7F28">
            <w:pPr>
              <w:rPr>
                <w:sz w:val="18"/>
                <w:szCs w:val="18"/>
                <w:lang w:val="ro-MD"/>
              </w:rPr>
            </w:pPr>
            <w:r w:rsidRPr="002460E2">
              <w:rPr>
                <w:sz w:val="18"/>
                <w:szCs w:val="18"/>
                <w:lang w:val="ro-MD"/>
              </w:rPr>
              <w:t>(3) O instituție poate utiliza în mod permanent o combinație a abordărilor menționate la alineatul (1) literele (a) și (b) pentru a calcula cerințele de fonduri proprii pentru riscul CVA pentru:</w:t>
            </w:r>
          </w:p>
          <w:p w14:paraId="4FB253FC" w14:textId="77777777" w:rsidR="008D7F28" w:rsidRPr="002460E2" w:rsidRDefault="008D7F28" w:rsidP="008D7F28">
            <w:pPr>
              <w:rPr>
                <w:sz w:val="18"/>
                <w:szCs w:val="18"/>
                <w:lang w:val="ro-MD"/>
              </w:rPr>
            </w:pPr>
            <w:r w:rsidRPr="002460E2">
              <w:rPr>
                <w:sz w:val="18"/>
                <w:szCs w:val="18"/>
                <w:lang w:val="ro-MD"/>
              </w:rPr>
              <w:t>(a) contrapărți diferite;</w:t>
            </w:r>
          </w:p>
          <w:p w14:paraId="074CBA0D" w14:textId="77777777" w:rsidR="008D7F28" w:rsidRPr="002460E2" w:rsidRDefault="008D7F28" w:rsidP="008D7F28">
            <w:pPr>
              <w:rPr>
                <w:sz w:val="18"/>
                <w:szCs w:val="18"/>
                <w:lang w:val="ro-MD"/>
              </w:rPr>
            </w:pPr>
            <w:r w:rsidRPr="002460E2">
              <w:rPr>
                <w:sz w:val="18"/>
                <w:szCs w:val="18"/>
                <w:lang w:val="ro-MD"/>
              </w:rPr>
              <w:t>(b) seturi de compensare eligibile diferite cu aceeași contraparte;</w:t>
            </w:r>
          </w:p>
          <w:p w14:paraId="73AD35DB" w14:textId="67315420" w:rsidR="008D7F28" w:rsidRPr="002460E2" w:rsidRDefault="008D7F28" w:rsidP="008D7F28">
            <w:pPr>
              <w:rPr>
                <w:sz w:val="18"/>
                <w:szCs w:val="18"/>
                <w:lang w:val="ro-MD"/>
              </w:rPr>
            </w:pPr>
            <w:r w:rsidRPr="002460E2">
              <w:rPr>
                <w:sz w:val="18"/>
                <w:szCs w:val="18"/>
                <w:lang w:val="ro-MD"/>
              </w:rPr>
              <w:lastRenderedPageBreak/>
              <w:t>(c) tranzacții diferite din același set de compensare eligibil, sub rezerva satisfacerii oricăreia dintre condițiile menționate la alineatul (5).</w:t>
            </w:r>
          </w:p>
        </w:tc>
        <w:tc>
          <w:tcPr>
            <w:tcW w:w="3685" w:type="dxa"/>
            <w:shd w:val="clear" w:color="auto" w:fill="auto"/>
          </w:tcPr>
          <w:p w14:paraId="33D3082E" w14:textId="77777777" w:rsidR="008D7F28" w:rsidRPr="002460E2" w:rsidRDefault="008D7F28" w:rsidP="008D7F28">
            <w:pPr>
              <w:tabs>
                <w:tab w:val="left" w:pos="540"/>
              </w:tabs>
              <w:ind w:left="-43"/>
              <w:jc w:val="both"/>
              <w:rPr>
                <w:color w:val="000000"/>
                <w:sz w:val="18"/>
                <w:szCs w:val="18"/>
                <w:lang w:val="ro-MD"/>
              </w:rPr>
            </w:pPr>
          </w:p>
          <w:p w14:paraId="3A4E816F" w14:textId="70F3A94E" w:rsidR="00B26CDE" w:rsidRPr="00B26CDE" w:rsidRDefault="00B26CDE" w:rsidP="00B26CDE">
            <w:pPr>
              <w:rPr>
                <w:sz w:val="18"/>
                <w:szCs w:val="18"/>
                <w:lang w:val="ro-MD"/>
              </w:rPr>
            </w:pPr>
            <w:r w:rsidRPr="002460E2">
              <w:rPr>
                <w:sz w:val="18"/>
                <w:szCs w:val="18"/>
                <w:lang w:val="ro-MD"/>
              </w:rPr>
              <w:t xml:space="preserve">13. </w:t>
            </w:r>
            <w:r w:rsidRPr="00B26CDE">
              <w:rPr>
                <w:sz w:val="18"/>
                <w:szCs w:val="18"/>
                <w:lang w:val="ro-MD"/>
              </w:rPr>
              <w:t>Banca poate utiliza în mod permanent o combinație a abordărilor menționate la subpunctele 11.1. și 11.2. pentru a calcula cerințele de fonduri proprii pentru riscul CVA pentru:</w:t>
            </w:r>
          </w:p>
          <w:p w14:paraId="70C84C93" w14:textId="77777777" w:rsidR="00B26CDE" w:rsidRPr="00B26CDE" w:rsidRDefault="00B26CDE" w:rsidP="00B26CDE">
            <w:pPr>
              <w:rPr>
                <w:sz w:val="18"/>
                <w:szCs w:val="18"/>
                <w:lang w:val="ro-MD"/>
              </w:rPr>
            </w:pPr>
            <w:r w:rsidRPr="00B26CDE">
              <w:rPr>
                <w:sz w:val="18"/>
                <w:szCs w:val="18"/>
                <w:lang w:val="ro-MD"/>
              </w:rPr>
              <w:t>13.1. contrapărți diferite;</w:t>
            </w:r>
          </w:p>
          <w:p w14:paraId="4F2E87A8" w14:textId="77777777" w:rsidR="00B26CDE" w:rsidRPr="00B26CDE" w:rsidRDefault="00B26CDE" w:rsidP="00B26CDE">
            <w:pPr>
              <w:rPr>
                <w:sz w:val="18"/>
                <w:szCs w:val="18"/>
                <w:lang w:val="ro-MD"/>
              </w:rPr>
            </w:pPr>
            <w:r w:rsidRPr="00B26CDE">
              <w:rPr>
                <w:sz w:val="18"/>
                <w:szCs w:val="18"/>
                <w:lang w:val="ro-MD"/>
              </w:rPr>
              <w:t>13.2. seturi de compensare eligibile diferite cu aceeași contraparte;</w:t>
            </w:r>
          </w:p>
          <w:p w14:paraId="4717135E" w14:textId="77777777" w:rsidR="00B26CDE" w:rsidRPr="00B26CDE" w:rsidRDefault="00B26CDE" w:rsidP="00B26CDE">
            <w:pPr>
              <w:rPr>
                <w:sz w:val="18"/>
                <w:szCs w:val="18"/>
                <w:lang w:val="ro-MD"/>
              </w:rPr>
            </w:pPr>
            <w:r w:rsidRPr="00B26CDE">
              <w:rPr>
                <w:sz w:val="18"/>
                <w:szCs w:val="18"/>
                <w:lang w:val="ro-MD"/>
              </w:rPr>
              <w:lastRenderedPageBreak/>
              <w:t xml:space="preserve">13.3. tranzacții diferite din același set de compensare eligibil, sub rezerva satisfacerii oricăreia dintre condițiile menționate la punctul 15. </w:t>
            </w:r>
          </w:p>
          <w:p w14:paraId="56F80BA4" w14:textId="77777777" w:rsidR="00B26CDE" w:rsidRPr="002460E2" w:rsidRDefault="00B26CDE" w:rsidP="00B26CDE">
            <w:pPr>
              <w:ind w:firstLine="720"/>
              <w:rPr>
                <w:sz w:val="18"/>
                <w:szCs w:val="18"/>
                <w:lang w:val="ro-MD"/>
              </w:rPr>
            </w:pPr>
          </w:p>
        </w:tc>
        <w:tc>
          <w:tcPr>
            <w:tcW w:w="1229" w:type="dxa"/>
          </w:tcPr>
          <w:p w14:paraId="04E380CD" w14:textId="1C65769D" w:rsidR="008D7F28" w:rsidRPr="002460E2" w:rsidRDefault="002460E2" w:rsidP="008D7F28">
            <w:pPr>
              <w:jc w:val="both"/>
              <w:rPr>
                <w:sz w:val="18"/>
                <w:szCs w:val="18"/>
                <w:lang w:val="ro-MD"/>
              </w:rPr>
            </w:pPr>
            <w:r>
              <w:rPr>
                <w:color w:val="000000"/>
                <w:sz w:val="18"/>
                <w:szCs w:val="18"/>
                <w:lang w:val="ro-MD"/>
              </w:rPr>
              <w:lastRenderedPageBreak/>
              <w:t>c</w:t>
            </w:r>
            <w:r w:rsidR="008D7F28" w:rsidRPr="002460E2">
              <w:rPr>
                <w:color w:val="000000"/>
                <w:sz w:val="18"/>
                <w:szCs w:val="18"/>
                <w:lang w:val="ro-MD"/>
              </w:rPr>
              <w:t>ompatibil</w:t>
            </w:r>
          </w:p>
        </w:tc>
        <w:tc>
          <w:tcPr>
            <w:tcW w:w="5292" w:type="dxa"/>
            <w:tcBorders>
              <w:top w:val="single" w:sz="4" w:space="0" w:color="auto"/>
              <w:bottom w:val="single" w:sz="4" w:space="0" w:color="auto"/>
            </w:tcBorders>
          </w:tcPr>
          <w:p w14:paraId="39152E26" w14:textId="77777777" w:rsidR="008D7F28" w:rsidRPr="002460E2" w:rsidRDefault="008D7F28" w:rsidP="00B26CDE">
            <w:pPr>
              <w:rPr>
                <w:sz w:val="18"/>
                <w:szCs w:val="18"/>
                <w:lang w:val="ro-RO"/>
              </w:rPr>
            </w:pPr>
          </w:p>
        </w:tc>
      </w:tr>
      <w:tr w:rsidR="008D7F28" w:rsidRPr="002460E2" w14:paraId="79BF277E" w14:textId="77777777" w:rsidTr="003F5B3C">
        <w:trPr>
          <w:trHeight w:val="918"/>
        </w:trPr>
        <w:tc>
          <w:tcPr>
            <w:tcW w:w="4253" w:type="dxa"/>
          </w:tcPr>
          <w:p w14:paraId="2FD1F848" w14:textId="7FDD82CB" w:rsidR="008D7F28" w:rsidRPr="002460E2" w:rsidRDefault="008D7F28" w:rsidP="008D7F28">
            <w:pPr>
              <w:rPr>
                <w:sz w:val="18"/>
                <w:szCs w:val="18"/>
                <w:lang w:val="en-US"/>
              </w:rPr>
            </w:pPr>
            <w:r w:rsidRPr="002460E2">
              <w:rPr>
                <w:sz w:val="18"/>
                <w:szCs w:val="18"/>
                <w:lang w:val="en-US"/>
              </w:rPr>
              <w:t>(4) În sensul alineatului (3) litera (c), instituțiile împart setul de compensare eligibil într-un set de compensare ipotetic care conține tranzacțiile care fac obiectul abordării menționate la alineatul (1) litera (a), și un set de compensare ipotetic care conține tranzacțiile care fac obiectul abordării menționate la alineatul (1) litera (b).</w:t>
            </w:r>
          </w:p>
        </w:tc>
        <w:tc>
          <w:tcPr>
            <w:tcW w:w="3685" w:type="dxa"/>
            <w:shd w:val="clear" w:color="auto" w:fill="auto"/>
          </w:tcPr>
          <w:p w14:paraId="56986503" w14:textId="527BB3EF" w:rsidR="00B26CDE" w:rsidRPr="00B26CDE" w:rsidRDefault="00B26CDE" w:rsidP="00B26CDE">
            <w:pPr>
              <w:tabs>
                <w:tab w:val="left" w:pos="540"/>
              </w:tabs>
              <w:jc w:val="both"/>
              <w:rPr>
                <w:sz w:val="18"/>
                <w:szCs w:val="18"/>
                <w:lang w:val="ro-MD"/>
              </w:rPr>
            </w:pPr>
            <w:r w:rsidRPr="002460E2">
              <w:rPr>
                <w:sz w:val="18"/>
                <w:szCs w:val="18"/>
                <w:lang w:val="ro-MD"/>
              </w:rPr>
              <w:t xml:space="preserve">14. </w:t>
            </w:r>
            <w:r w:rsidRPr="00B26CDE">
              <w:rPr>
                <w:sz w:val="18"/>
                <w:szCs w:val="18"/>
                <w:lang w:val="ro-MD"/>
              </w:rPr>
              <w:t>În sensul subpunctul 13.3., băncile împart setul de compensare eligibil într-un set de compensare ipotetic care conține tranzacțiile care fac obiectul abordării menționate la subpunctul 11.1. și un set de compensare ipotetic care conține tranzacțiile care fac obiectul abordării menționate la subpunctul 11.2.</w:t>
            </w:r>
          </w:p>
          <w:p w14:paraId="252EA9F1" w14:textId="77777777" w:rsidR="008D7F28" w:rsidRPr="002460E2" w:rsidRDefault="008D7F28" w:rsidP="008D7F28">
            <w:pPr>
              <w:tabs>
                <w:tab w:val="left" w:pos="540"/>
              </w:tabs>
              <w:ind w:left="-43"/>
              <w:jc w:val="both"/>
              <w:rPr>
                <w:sz w:val="18"/>
                <w:szCs w:val="18"/>
                <w:lang w:val="ro-MD"/>
              </w:rPr>
            </w:pPr>
          </w:p>
        </w:tc>
        <w:tc>
          <w:tcPr>
            <w:tcW w:w="1229" w:type="dxa"/>
          </w:tcPr>
          <w:p w14:paraId="0A3A367B" w14:textId="229CA0E5" w:rsidR="008D7F28" w:rsidRPr="002460E2" w:rsidRDefault="002460E2" w:rsidP="008D7F28">
            <w:pPr>
              <w:jc w:val="both"/>
              <w:rPr>
                <w:sz w:val="18"/>
                <w:szCs w:val="18"/>
                <w:lang w:val="ro-MD"/>
              </w:rPr>
            </w:pPr>
            <w:r>
              <w:rPr>
                <w:sz w:val="18"/>
                <w:szCs w:val="18"/>
                <w:lang w:val="ro-MD"/>
              </w:rPr>
              <w:t>co</w:t>
            </w:r>
            <w:r w:rsidR="00B26CDE" w:rsidRPr="002460E2">
              <w:rPr>
                <w:sz w:val="18"/>
                <w:szCs w:val="18"/>
                <w:lang w:val="ro-MD"/>
              </w:rPr>
              <w:t>mpatibil</w:t>
            </w:r>
          </w:p>
        </w:tc>
        <w:tc>
          <w:tcPr>
            <w:tcW w:w="5292" w:type="dxa"/>
            <w:tcBorders>
              <w:top w:val="single" w:sz="4" w:space="0" w:color="auto"/>
              <w:bottom w:val="single" w:sz="4" w:space="0" w:color="auto"/>
            </w:tcBorders>
          </w:tcPr>
          <w:p w14:paraId="5F4B9EB6" w14:textId="6EB2B5B5" w:rsidR="008D7F28" w:rsidRPr="002460E2" w:rsidRDefault="008D7F28" w:rsidP="008D7F28">
            <w:pPr>
              <w:jc w:val="both"/>
              <w:rPr>
                <w:sz w:val="18"/>
                <w:szCs w:val="18"/>
                <w:lang w:val="ro-MD"/>
              </w:rPr>
            </w:pPr>
          </w:p>
        </w:tc>
      </w:tr>
      <w:tr w:rsidR="008D7F28" w:rsidRPr="002460E2" w14:paraId="1A7EE6F2" w14:textId="77777777" w:rsidTr="003F5B3C">
        <w:trPr>
          <w:trHeight w:val="583"/>
        </w:trPr>
        <w:tc>
          <w:tcPr>
            <w:tcW w:w="4253" w:type="dxa"/>
          </w:tcPr>
          <w:p w14:paraId="721079F9" w14:textId="69AEF2FA" w:rsidR="008D7F28" w:rsidRPr="002460E2" w:rsidRDefault="008D7F28" w:rsidP="008D7F28">
            <w:pPr>
              <w:rPr>
                <w:sz w:val="18"/>
                <w:szCs w:val="18"/>
                <w:lang w:val="en-US"/>
              </w:rPr>
            </w:pPr>
            <w:r w:rsidRPr="002460E2">
              <w:rPr>
                <w:sz w:val="18"/>
                <w:szCs w:val="18"/>
                <w:lang w:val="en-US"/>
              </w:rPr>
              <w:t>(5) În sensul alineatului (3) litera (c), condițiile menționate la alineatul și litera respective includ următoarele:</w:t>
            </w:r>
          </w:p>
          <w:p w14:paraId="72B3E02C" w14:textId="77AC418D" w:rsidR="008D7F28" w:rsidRPr="002460E2" w:rsidRDefault="008D7F28" w:rsidP="008D7F28">
            <w:pPr>
              <w:rPr>
                <w:sz w:val="18"/>
                <w:szCs w:val="18"/>
                <w:lang w:val="en-US"/>
              </w:rPr>
            </w:pPr>
            <w:r w:rsidRPr="002460E2">
              <w:rPr>
                <w:sz w:val="18"/>
                <w:szCs w:val="18"/>
                <w:lang w:val="en-US"/>
              </w:rPr>
              <w:t>(a) împărțirea este în concordanță cu tratamentul setului de compensare legal în momentul calculării CVA în scopuri contabile;</w:t>
            </w:r>
          </w:p>
          <w:p w14:paraId="53353404" w14:textId="265BAB2C" w:rsidR="008D7F28" w:rsidRPr="002460E2" w:rsidRDefault="008D7F28" w:rsidP="008D7F28">
            <w:pPr>
              <w:rPr>
                <w:sz w:val="18"/>
                <w:szCs w:val="18"/>
                <w:lang w:val="en-US"/>
              </w:rPr>
            </w:pPr>
            <w:r w:rsidRPr="002460E2">
              <w:rPr>
                <w:sz w:val="18"/>
                <w:szCs w:val="18"/>
                <w:lang w:val="en-US"/>
              </w:rPr>
              <w:t>(b) aprobarea acordată de autoritățile competente de a utiliza abordarea menționată la alineatul (1) litera (a) se limitează la setul de compensare ipotetic corespunzător și nu vizează toate tranzacțiile din setul de compensare eligibil.</w:t>
            </w:r>
          </w:p>
          <w:p w14:paraId="320CF3BA" w14:textId="25C26EA8" w:rsidR="008D7F28" w:rsidRPr="002460E2" w:rsidRDefault="008D7F28" w:rsidP="008D7F28">
            <w:pPr>
              <w:rPr>
                <w:sz w:val="18"/>
                <w:szCs w:val="18"/>
                <w:lang w:val="en-US"/>
              </w:rPr>
            </w:pPr>
            <w:r w:rsidRPr="002460E2">
              <w:rPr>
                <w:sz w:val="18"/>
                <w:szCs w:val="18"/>
                <w:lang w:val="en-US"/>
              </w:rPr>
              <w:t>Instituțiile documentează modul în care utilizează în mod permanent o combinație a abordărilor menționate la alineatul (1) literele (a) și (b), și astfel cum se prevede la prezentul alineat, pentru a calcula cerințele de fonduri proprii pentru riscul CVA.</w:t>
            </w:r>
          </w:p>
        </w:tc>
        <w:tc>
          <w:tcPr>
            <w:tcW w:w="3685" w:type="dxa"/>
            <w:shd w:val="clear" w:color="auto" w:fill="auto"/>
          </w:tcPr>
          <w:p w14:paraId="2AFC38CA" w14:textId="3665C397" w:rsidR="00B26CDE" w:rsidRPr="00B26CDE" w:rsidRDefault="00B26CDE" w:rsidP="00B26CDE">
            <w:pPr>
              <w:tabs>
                <w:tab w:val="left" w:pos="540"/>
              </w:tabs>
              <w:jc w:val="both"/>
              <w:rPr>
                <w:sz w:val="18"/>
                <w:szCs w:val="18"/>
                <w:lang w:val="ro-MD"/>
              </w:rPr>
            </w:pPr>
            <w:r w:rsidRPr="002460E2">
              <w:rPr>
                <w:sz w:val="18"/>
                <w:szCs w:val="18"/>
                <w:lang w:val="ro-MD"/>
              </w:rPr>
              <w:t xml:space="preserve">15. </w:t>
            </w:r>
            <w:r w:rsidRPr="00B26CDE">
              <w:rPr>
                <w:sz w:val="18"/>
                <w:szCs w:val="18"/>
                <w:lang w:val="ro-MD"/>
              </w:rPr>
              <w:t>În sensul subpunctul 13.3., condițiile menționate la subpunctul respectiv includ următoarele:</w:t>
            </w:r>
          </w:p>
          <w:p w14:paraId="291B58FC" w14:textId="77777777" w:rsidR="00B26CDE" w:rsidRPr="00B26CDE" w:rsidRDefault="00B26CDE" w:rsidP="00B26CDE">
            <w:pPr>
              <w:tabs>
                <w:tab w:val="left" w:pos="540"/>
              </w:tabs>
              <w:ind w:left="-43"/>
              <w:jc w:val="both"/>
              <w:rPr>
                <w:sz w:val="18"/>
                <w:szCs w:val="18"/>
                <w:lang w:val="ro-MD"/>
              </w:rPr>
            </w:pPr>
            <w:r w:rsidRPr="00B26CDE">
              <w:rPr>
                <w:sz w:val="18"/>
                <w:szCs w:val="18"/>
                <w:lang w:val="ro-MD"/>
              </w:rPr>
              <w:t>15.1. împărțirea este în concordanță cu tratamentul setului de compensare legal în momentul calculării CVA în scopuri contabile;</w:t>
            </w:r>
          </w:p>
          <w:p w14:paraId="19318D8F" w14:textId="77777777" w:rsidR="00B26CDE" w:rsidRPr="00B26CDE" w:rsidRDefault="00B26CDE" w:rsidP="00B26CDE">
            <w:pPr>
              <w:tabs>
                <w:tab w:val="left" w:pos="540"/>
              </w:tabs>
              <w:ind w:left="-43"/>
              <w:jc w:val="both"/>
              <w:rPr>
                <w:sz w:val="18"/>
                <w:szCs w:val="18"/>
                <w:lang w:val="ro-MD"/>
              </w:rPr>
            </w:pPr>
            <w:r w:rsidRPr="00B26CDE">
              <w:rPr>
                <w:sz w:val="18"/>
                <w:szCs w:val="18"/>
                <w:lang w:val="ro-MD"/>
              </w:rPr>
              <w:t>15.2. aprobarea acordată de Banca Națională a Moldovei de a utiliza abordarea menționată la subpunctul 11.1. se limitează la setul de compensare ipotetic corespunzător și nu vizează toate tranzacțiile din setul de compensare eligibil.</w:t>
            </w:r>
          </w:p>
          <w:p w14:paraId="6258DD54" w14:textId="77777777" w:rsidR="007E6968" w:rsidRPr="002460E2" w:rsidRDefault="007E6968" w:rsidP="00B26CDE">
            <w:pPr>
              <w:tabs>
                <w:tab w:val="left" w:pos="326"/>
              </w:tabs>
              <w:ind w:left="-43"/>
              <w:jc w:val="both"/>
              <w:rPr>
                <w:sz w:val="18"/>
                <w:szCs w:val="18"/>
                <w:lang w:val="ro-MD"/>
              </w:rPr>
            </w:pPr>
          </w:p>
          <w:p w14:paraId="35EF038C" w14:textId="73CB8922" w:rsidR="008D7F28" w:rsidRPr="002460E2" w:rsidRDefault="00B26CDE" w:rsidP="00B26CDE">
            <w:pPr>
              <w:tabs>
                <w:tab w:val="left" w:pos="326"/>
              </w:tabs>
              <w:ind w:left="-43"/>
              <w:jc w:val="both"/>
              <w:rPr>
                <w:b/>
                <w:bCs/>
                <w:sz w:val="18"/>
                <w:szCs w:val="18"/>
                <w:lang w:val="ro-MD"/>
              </w:rPr>
            </w:pPr>
            <w:r w:rsidRPr="002460E2">
              <w:rPr>
                <w:sz w:val="18"/>
                <w:szCs w:val="18"/>
                <w:lang w:val="ro-MD"/>
              </w:rPr>
              <w:t>16.</w:t>
            </w:r>
            <w:r w:rsidRPr="002460E2">
              <w:rPr>
                <w:sz w:val="18"/>
                <w:szCs w:val="18"/>
                <w:lang w:val="ro-MD"/>
              </w:rPr>
              <w:tab/>
              <w:t>Băncile documentează modul în care utilizează în mod permanent o combinație a abordărilor menționate la subpunctele 11.1. și 11.2., astfel cum se prevede la punctul 15, pentru a calcula cerințele de fonduri proprii pentru riscul CVA.</w:t>
            </w:r>
          </w:p>
        </w:tc>
        <w:tc>
          <w:tcPr>
            <w:tcW w:w="1229" w:type="dxa"/>
          </w:tcPr>
          <w:p w14:paraId="2D67EC69" w14:textId="26FBFE10" w:rsidR="008D7F28" w:rsidRPr="002460E2" w:rsidRDefault="002460E2" w:rsidP="008D7F28">
            <w:pPr>
              <w:jc w:val="both"/>
              <w:rPr>
                <w:sz w:val="18"/>
                <w:szCs w:val="18"/>
                <w:lang w:val="ro-MD"/>
              </w:rPr>
            </w:pPr>
            <w:r>
              <w:rPr>
                <w:sz w:val="18"/>
                <w:szCs w:val="18"/>
                <w:lang w:val="ro-MD"/>
              </w:rPr>
              <w:t>c</w:t>
            </w:r>
            <w:r w:rsidR="00B26CDE" w:rsidRPr="002460E2">
              <w:rPr>
                <w:sz w:val="18"/>
                <w:szCs w:val="18"/>
                <w:lang w:val="ro-MD"/>
              </w:rPr>
              <w:t>ompatibil</w:t>
            </w:r>
          </w:p>
        </w:tc>
        <w:tc>
          <w:tcPr>
            <w:tcW w:w="5292" w:type="dxa"/>
            <w:tcBorders>
              <w:top w:val="single" w:sz="4" w:space="0" w:color="auto"/>
              <w:bottom w:val="single" w:sz="4" w:space="0" w:color="auto"/>
            </w:tcBorders>
          </w:tcPr>
          <w:p w14:paraId="269B2151" w14:textId="4FFCE372" w:rsidR="008D7F28" w:rsidRPr="002460E2" w:rsidRDefault="008D7F28" w:rsidP="008D7F28">
            <w:pPr>
              <w:rPr>
                <w:sz w:val="18"/>
                <w:szCs w:val="18"/>
                <w:lang w:val="ro-MD"/>
              </w:rPr>
            </w:pPr>
          </w:p>
        </w:tc>
      </w:tr>
      <w:tr w:rsidR="008D7F28" w:rsidRPr="002460E2" w14:paraId="24370E01" w14:textId="77777777" w:rsidTr="003F5B3C">
        <w:trPr>
          <w:trHeight w:val="918"/>
        </w:trPr>
        <w:tc>
          <w:tcPr>
            <w:tcW w:w="4253" w:type="dxa"/>
          </w:tcPr>
          <w:p w14:paraId="5E85B7E2" w14:textId="77777777" w:rsidR="008D7F28" w:rsidRPr="002460E2" w:rsidRDefault="008D7F28" w:rsidP="008D7F28">
            <w:pPr>
              <w:rPr>
                <w:i/>
                <w:iCs/>
                <w:sz w:val="18"/>
                <w:szCs w:val="18"/>
                <w:lang w:val="en-US"/>
              </w:rPr>
            </w:pPr>
            <w:r w:rsidRPr="002460E2">
              <w:rPr>
                <w:i/>
                <w:iCs/>
                <w:sz w:val="18"/>
                <w:szCs w:val="18"/>
                <w:lang w:val="en-US"/>
              </w:rPr>
              <w:t>Articolul 383</w:t>
            </w:r>
          </w:p>
          <w:p w14:paraId="4AEC4AEB" w14:textId="77777777" w:rsidR="008D7F28" w:rsidRPr="002460E2" w:rsidRDefault="008D7F28" w:rsidP="008D7F28">
            <w:pPr>
              <w:rPr>
                <w:b/>
                <w:bCs/>
                <w:sz w:val="18"/>
                <w:szCs w:val="18"/>
                <w:lang w:val="en-US"/>
              </w:rPr>
            </w:pPr>
            <w:r w:rsidRPr="002460E2">
              <w:rPr>
                <w:b/>
                <w:bCs/>
                <w:sz w:val="18"/>
                <w:szCs w:val="18"/>
                <w:lang w:val="en-US"/>
              </w:rPr>
              <w:t>Abordarea standardizată</w:t>
            </w:r>
          </w:p>
          <w:p w14:paraId="19B7D61D" w14:textId="09B59750" w:rsidR="008D7F28" w:rsidRPr="002460E2" w:rsidRDefault="008D7F28" w:rsidP="008D7F28">
            <w:pPr>
              <w:rPr>
                <w:sz w:val="18"/>
                <w:szCs w:val="18"/>
                <w:lang w:val="en-US"/>
              </w:rPr>
            </w:pPr>
            <w:r w:rsidRPr="002460E2">
              <w:rPr>
                <w:sz w:val="18"/>
                <w:szCs w:val="18"/>
                <w:lang w:val="en-US"/>
              </w:rPr>
              <w:t xml:space="preserve">(1) Autoritatea competentă acordă unei instituții aprobarea de a-și calcula cerințele de fonduri proprii </w:t>
            </w:r>
            <w:r w:rsidRPr="002460E2">
              <w:rPr>
                <w:sz w:val="18"/>
                <w:szCs w:val="18"/>
                <w:lang w:val="en-US"/>
              </w:rPr>
              <w:lastRenderedPageBreak/>
              <w:t>pentru riscul CVA pentru un portofoliu de tranzacții cu una sau mai multe contrapărți utilizând abordarea standardizată în conformitate cu alineatul (3) de la prezentul articol, după ce a evaluat dacă instituția respectă următoarele cerințe:</w:t>
            </w:r>
          </w:p>
          <w:p w14:paraId="0B561289" w14:textId="452C1C81" w:rsidR="008D7F28" w:rsidRPr="002460E2" w:rsidRDefault="008D7F28" w:rsidP="008D7F28">
            <w:pPr>
              <w:rPr>
                <w:sz w:val="18"/>
                <w:szCs w:val="18"/>
                <w:lang w:val="en-US"/>
              </w:rPr>
            </w:pPr>
            <w:r w:rsidRPr="002460E2">
              <w:rPr>
                <w:sz w:val="18"/>
                <w:szCs w:val="18"/>
                <w:lang w:val="en-US"/>
              </w:rPr>
              <w:t>(a) instituția a înființat o unitate distinctă care este responsabilă cu gestionarea globală a riscurilor instituției și de acoperirea riscului CVA;</w:t>
            </w:r>
          </w:p>
          <w:p w14:paraId="436D0335" w14:textId="484E524F" w:rsidR="008D7F28" w:rsidRPr="002460E2" w:rsidRDefault="008D7F28" w:rsidP="008D7F28">
            <w:pPr>
              <w:rPr>
                <w:sz w:val="18"/>
                <w:szCs w:val="18"/>
                <w:lang w:val="en-US"/>
              </w:rPr>
            </w:pPr>
            <w:r w:rsidRPr="002460E2">
              <w:rPr>
                <w:sz w:val="18"/>
                <w:szCs w:val="18"/>
                <w:lang w:val="en-US"/>
              </w:rPr>
              <w:t>(b) pentru fiecare contraparte în cauză, instituția a elaborat un model de CVA reglementară pentru a calcula CVA aferentă contrapărții respective în conformitate cu articolul 383a;</w:t>
            </w:r>
          </w:p>
          <w:p w14:paraId="307A72EF" w14:textId="7FB88B8B" w:rsidR="008D7F28" w:rsidRPr="002460E2" w:rsidRDefault="008D7F28" w:rsidP="008D7F28">
            <w:pPr>
              <w:rPr>
                <w:sz w:val="18"/>
                <w:szCs w:val="18"/>
                <w:lang w:val="en-US"/>
              </w:rPr>
            </w:pPr>
            <w:r w:rsidRPr="002460E2">
              <w:rPr>
                <w:sz w:val="18"/>
                <w:szCs w:val="18"/>
                <w:lang w:val="en-US"/>
              </w:rPr>
              <w:t>(c) instituția este în măsură să calculeze, cel puțin o dată pe lună, sensibilitățile CVA aferente fiecărei contrapărți în cauză la factorii de risc relevanți determinați în conformitate cu articolul 383b;</w:t>
            </w:r>
          </w:p>
          <w:p w14:paraId="38357CC0" w14:textId="58EF6E31" w:rsidR="008D7F28" w:rsidRPr="002460E2" w:rsidRDefault="008D7F28" w:rsidP="008D7F28">
            <w:pPr>
              <w:rPr>
                <w:sz w:val="18"/>
                <w:szCs w:val="18"/>
                <w:lang w:val="en-US"/>
              </w:rPr>
            </w:pPr>
            <w:r w:rsidRPr="002460E2">
              <w:rPr>
                <w:sz w:val="18"/>
                <w:szCs w:val="18"/>
                <w:lang w:val="en-US"/>
              </w:rPr>
              <w:t>(d) pentru toate pozițiile pe acoperiri eligibile recunoscute în conformitate cu articolul 386 în scopul calculării cerințelor de fonduri proprii pentru riscul CVA utilizând abordarea standardizată, instituția este în măsură să calculeze, cel puțin o dată pe lună, sensibilitățile pozițiilor respective la factorii de risc relevanți determinați în conformitate cu articolul 383b;</w:t>
            </w:r>
          </w:p>
          <w:p w14:paraId="49B42E09" w14:textId="74634203" w:rsidR="008D7F28" w:rsidRPr="002460E2" w:rsidRDefault="008D7F28" w:rsidP="008D7F28">
            <w:pPr>
              <w:rPr>
                <w:sz w:val="18"/>
                <w:szCs w:val="18"/>
                <w:lang w:val="en-US"/>
              </w:rPr>
            </w:pPr>
            <w:r w:rsidRPr="002460E2">
              <w:rPr>
                <w:sz w:val="18"/>
                <w:szCs w:val="18"/>
                <w:lang w:val="en-US"/>
              </w:rPr>
              <w:t>(e) instituția a creat o unitate de control al riscului care este independentă de unitățile care desfășoară activități de tranzacționare și de unitatea menționată la litera (a) și care raportează direct organismului de conducere; unitatea de control al riscului este responsabilă de conceperea și punerea în aplicare a abordării standardizate și elaborează și analizează rapoarte lunare cu privire la rezultatele abordării respective și, în plus, unitatea de control al riscului evaluează caracterul adecvat al limitelor de tranzacționare ale instituției și include rezultatele evaluării respective în rapoartele sale lunare; unitatea de control al riscului dispune de personal suficient cu un nivel de competențe adecvat pentru îndeplinirea scopului său.</w:t>
            </w:r>
          </w:p>
          <w:p w14:paraId="2056EC8F" w14:textId="77777777" w:rsidR="008D7F28" w:rsidRPr="002460E2" w:rsidRDefault="008D7F28" w:rsidP="008D7F28">
            <w:pPr>
              <w:rPr>
                <w:sz w:val="18"/>
                <w:szCs w:val="18"/>
                <w:lang w:val="en-US"/>
              </w:rPr>
            </w:pPr>
            <w:r w:rsidRPr="002460E2">
              <w:rPr>
                <w:sz w:val="18"/>
                <w:szCs w:val="18"/>
                <w:lang w:val="en-US"/>
              </w:rPr>
              <w:lastRenderedPageBreak/>
              <w:t>În sensul primului paragraf litera (c) de la prezentul alineat, sensibilitatea CVA aferente unei contrapărți la un factor de risc înseamnă modificarea relativă a valorii CVA respective, ca urmare a unei modificări a valorii unuia dintre factorii de risc relevanți ai respectivei CVA, calculată utilizând modelul de CVA reglementară al instituției în conformitate cu articolele 383i și 383j.</w:t>
            </w:r>
          </w:p>
          <w:p w14:paraId="3784E8E1" w14:textId="72744AE5" w:rsidR="008D7F28" w:rsidRPr="002460E2" w:rsidRDefault="008D7F28" w:rsidP="008D7F28">
            <w:pPr>
              <w:rPr>
                <w:sz w:val="18"/>
                <w:szCs w:val="18"/>
                <w:lang w:val="en-US"/>
              </w:rPr>
            </w:pPr>
            <w:r w:rsidRPr="002460E2">
              <w:rPr>
                <w:sz w:val="18"/>
                <w:szCs w:val="18"/>
                <w:lang w:val="en-US"/>
              </w:rPr>
              <w:t>În sensul primului paragraf litera (d) de la prezentul alineat, sensibilitatea unei poziții pe o acoperire eligibilă la un factor de risc înseamnă modificarea relativă a valorii poziției respective, ca urmare a unei modificări a valorii unuia dintre factorii de risc relevanți ai poziției respective, calculată utilizând modelul de evaluare al instituției în conformitate cu articolele 383i și 383j.</w:t>
            </w:r>
          </w:p>
        </w:tc>
        <w:tc>
          <w:tcPr>
            <w:tcW w:w="3685" w:type="dxa"/>
            <w:shd w:val="clear" w:color="auto" w:fill="auto"/>
          </w:tcPr>
          <w:p w14:paraId="038B7CEE" w14:textId="77777777" w:rsidR="00B26CDE" w:rsidRPr="002460E2" w:rsidRDefault="00B26CDE" w:rsidP="00B26CDE">
            <w:pPr>
              <w:tabs>
                <w:tab w:val="left" w:pos="540"/>
              </w:tabs>
              <w:ind w:left="-43"/>
              <w:jc w:val="both"/>
              <w:rPr>
                <w:sz w:val="18"/>
                <w:szCs w:val="18"/>
                <w:lang w:val="en-US"/>
              </w:rPr>
            </w:pPr>
          </w:p>
          <w:p w14:paraId="194466DE" w14:textId="77777777" w:rsidR="00B26CDE" w:rsidRPr="002460E2" w:rsidRDefault="00B26CDE" w:rsidP="00B26CDE">
            <w:pPr>
              <w:tabs>
                <w:tab w:val="left" w:pos="326"/>
              </w:tabs>
              <w:ind w:left="-43"/>
              <w:jc w:val="both"/>
              <w:rPr>
                <w:sz w:val="18"/>
                <w:szCs w:val="18"/>
                <w:lang w:val="en-US"/>
              </w:rPr>
            </w:pPr>
            <w:r w:rsidRPr="002460E2">
              <w:rPr>
                <w:sz w:val="18"/>
                <w:szCs w:val="18"/>
                <w:lang w:val="en-US"/>
              </w:rPr>
              <w:t>17.</w:t>
            </w:r>
            <w:r w:rsidRPr="002460E2">
              <w:rPr>
                <w:sz w:val="18"/>
                <w:szCs w:val="18"/>
                <w:lang w:val="en-US"/>
              </w:rPr>
              <w:tab/>
              <w:t xml:space="preserve">Banca Națională a Moldovei acordă unei bănci aprobare prealabilă de a-și calcula cerinţele de fonduri proprii pentru riscul CVA pentru un </w:t>
            </w:r>
            <w:r w:rsidRPr="002460E2">
              <w:rPr>
                <w:sz w:val="18"/>
                <w:szCs w:val="18"/>
                <w:lang w:val="en-US"/>
              </w:rPr>
              <w:lastRenderedPageBreak/>
              <w:t xml:space="preserve">portofoliu de tranzacţii cu una sau mai multe contrapărţi utilizând abordarea standardizată în conformitate cu punctul 20, după ce a evaluat dacă banca respectă următoarele cerinţe: </w:t>
            </w:r>
          </w:p>
          <w:p w14:paraId="702B1329" w14:textId="77777777" w:rsidR="00B26CDE" w:rsidRPr="002460E2" w:rsidRDefault="00B26CDE" w:rsidP="00B26CDE">
            <w:pPr>
              <w:tabs>
                <w:tab w:val="left" w:pos="468"/>
              </w:tabs>
              <w:ind w:left="-43"/>
              <w:jc w:val="both"/>
              <w:rPr>
                <w:sz w:val="18"/>
                <w:szCs w:val="18"/>
                <w:lang w:val="en-US"/>
              </w:rPr>
            </w:pPr>
            <w:r w:rsidRPr="002460E2">
              <w:rPr>
                <w:sz w:val="18"/>
                <w:szCs w:val="18"/>
                <w:lang w:val="en-US"/>
              </w:rPr>
              <w:t>17.1.</w:t>
            </w:r>
            <w:r w:rsidRPr="002460E2">
              <w:rPr>
                <w:sz w:val="18"/>
                <w:szCs w:val="18"/>
                <w:lang w:val="en-US"/>
              </w:rPr>
              <w:tab/>
              <w:t xml:space="preserve">banca a înfiinţat o subdiviziune care este responsabilă de gestionarea globală a riscurilor băncii și de acoperirea riscului CVA; </w:t>
            </w:r>
          </w:p>
          <w:p w14:paraId="3F8AF4CB" w14:textId="77777777" w:rsidR="00B26CDE" w:rsidRPr="002460E2" w:rsidRDefault="00B26CDE" w:rsidP="00B26CDE">
            <w:pPr>
              <w:tabs>
                <w:tab w:val="left" w:pos="468"/>
              </w:tabs>
              <w:ind w:left="-43"/>
              <w:jc w:val="both"/>
              <w:rPr>
                <w:sz w:val="18"/>
                <w:szCs w:val="18"/>
                <w:lang w:val="en-US"/>
              </w:rPr>
            </w:pPr>
            <w:r w:rsidRPr="002460E2">
              <w:rPr>
                <w:sz w:val="18"/>
                <w:szCs w:val="18"/>
                <w:lang w:val="en-US"/>
              </w:rPr>
              <w:t>17.2.</w:t>
            </w:r>
            <w:r w:rsidRPr="002460E2">
              <w:rPr>
                <w:sz w:val="18"/>
                <w:szCs w:val="18"/>
                <w:lang w:val="en-US"/>
              </w:rPr>
              <w:tab/>
              <w:t xml:space="preserve">pentru fiecare contraparte în cauză, banca a elaborat un model de CVA reglementară pentru a calcula CVA aferentă contrapărţii respective în conformitate cu punctele 21-27; </w:t>
            </w:r>
          </w:p>
          <w:p w14:paraId="50DDF4F9" w14:textId="77777777" w:rsidR="00B26CDE" w:rsidRPr="002460E2" w:rsidRDefault="00B26CDE" w:rsidP="00B26CDE">
            <w:pPr>
              <w:tabs>
                <w:tab w:val="left" w:pos="468"/>
              </w:tabs>
              <w:ind w:left="-43"/>
              <w:jc w:val="both"/>
              <w:rPr>
                <w:sz w:val="18"/>
                <w:szCs w:val="18"/>
                <w:lang w:val="en-US"/>
              </w:rPr>
            </w:pPr>
            <w:r w:rsidRPr="002460E2">
              <w:rPr>
                <w:sz w:val="18"/>
                <w:szCs w:val="18"/>
                <w:lang w:val="en-US"/>
              </w:rPr>
              <w:t>17.3.</w:t>
            </w:r>
            <w:r w:rsidRPr="002460E2">
              <w:rPr>
                <w:sz w:val="18"/>
                <w:szCs w:val="18"/>
                <w:lang w:val="en-US"/>
              </w:rPr>
              <w:tab/>
              <w:t>banca este în măsură să calculeze, cel puţin o dată pe lună, sensibilităţile CVA aferente fiecărei contrapărţi în cauză la factorii de risc relevanţi determinaţi în conformitate cu punctele 28-40;</w:t>
            </w:r>
          </w:p>
          <w:p w14:paraId="6E0BDD81" w14:textId="77777777" w:rsidR="00B26CDE" w:rsidRPr="002460E2" w:rsidRDefault="00B26CDE" w:rsidP="00B26CDE">
            <w:pPr>
              <w:tabs>
                <w:tab w:val="left" w:pos="468"/>
              </w:tabs>
              <w:ind w:left="-43"/>
              <w:jc w:val="both"/>
              <w:rPr>
                <w:sz w:val="18"/>
                <w:szCs w:val="18"/>
                <w:lang w:val="en-US"/>
              </w:rPr>
            </w:pPr>
            <w:r w:rsidRPr="002460E2">
              <w:rPr>
                <w:sz w:val="18"/>
                <w:szCs w:val="18"/>
                <w:lang w:val="en-US"/>
              </w:rPr>
              <w:t>17.4.</w:t>
            </w:r>
            <w:r w:rsidRPr="002460E2">
              <w:rPr>
                <w:sz w:val="18"/>
                <w:szCs w:val="18"/>
                <w:lang w:val="en-US"/>
              </w:rPr>
              <w:tab/>
              <w:t>pentru toate poziţiile pe acoperiri eligibile recunoscute în conformitate cu punctele 119-124 în scopul calculării cerinţelor de fonduri proprii pentru riscul CVA utilizând abordarea standardizată, banca este în măsură să calculeze, cel puţin o dată pe lună, sensibilităţile poziţiilor respective la factorii de risc relevanţi determinaţi în conformitate cu punctele 28-40;</w:t>
            </w:r>
          </w:p>
          <w:p w14:paraId="583D9107" w14:textId="77777777" w:rsidR="00B26CDE" w:rsidRPr="002460E2" w:rsidRDefault="00B26CDE" w:rsidP="00B26CDE">
            <w:pPr>
              <w:tabs>
                <w:tab w:val="left" w:pos="540"/>
              </w:tabs>
              <w:ind w:left="-43"/>
              <w:jc w:val="both"/>
              <w:rPr>
                <w:sz w:val="18"/>
                <w:szCs w:val="18"/>
                <w:lang w:val="en-US"/>
              </w:rPr>
            </w:pPr>
            <w:r w:rsidRPr="002460E2">
              <w:rPr>
                <w:sz w:val="18"/>
                <w:szCs w:val="18"/>
                <w:lang w:val="en-US"/>
              </w:rPr>
              <w:t>17.5.</w:t>
            </w:r>
            <w:r w:rsidRPr="002460E2">
              <w:rPr>
                <w:sz w:val="18"/>
                <w:szCs w:val="18"/>
                <w:lang w:val="en-US"/>
              </w:rPr>
              <w:tab/>
              <w:t xml:space="preserve">banca a creat o subdiviziune de control al riscului care este independentă de subdiviziunile care desfășoară activităţi de tranzacţionare și de unitatea menţionată la subpunctul 17.1. și care raportează direct organului de conducere; subdiviziunea de control al riscului este responsabilă de conceperea și punerea în aplicare a abordării standardizate și elaborează și analizează rapoarte lunare cu privire la rezultatele abordării respective și, în plus, subdiviziunea de control al riscului evaluează caracterul adecvat al limitelor de tranzacţionare ale băncii și include rezultatele evaluării respective în rapoartele sale lunare; </w:t>
            </w:r>
            <w:r w:rsidRPr="002460E2">
              <w:rPr>
                <w:sz w:val="18"/>
                <w:szCs w:val="18"/>
                <w:lang w:val="en-US"/>
              </w:rPr>
              <w:lastRenderedPageBreak/>
              <w:t>subdiviziunea de control al riscului dispune de personal suficient cu un nivel de competenţe adecvat pentru îndeplinirea scopului său.</w:t>
            </w:r>
          </w:p>
          <w:p w14:paraId="4CF19A6D" w14:textId="77777777" w:rsidR="00B26CDE" w:rsidRPr="002460E2" w:rsidRDefault="00B26CDE" w:rsidP="00B26CDE">
            <w:pPr>
              <w:tabs>
                <w:tab w:val="left" w:pos="326"/>
              </w:tabs>
              <w:ind w:left="-43"/>
              <w:jc w:val="both"/>
              <w:rPr>
                <w:sz w:val="18"/>
                <w:szCs w:val="18"/>
                <w:lang w:val="en-US"/>
              </w:rPr>
            </w:pPr>
            <w:r w:rsidRPr="002460E2">
              <w:rPr>
                <w:sz w:val="18"/>
                <w:szCs w:val="18"/>
                <w:lang w:val="en-US"/>
              </w:rPr>
              <w:t>18.</w:t>
            </w:r>
            <w:r w:rsidRPr="002460E2">
              <w:rPr>
                <w:sz w:val="18"/>
                <w:szCs w:val="18"/>
                <w:lang w:val="en-US"/>
              </w:rPr>
              <w:tab/>
              <w:t>În sensul subpunctul 17.3., sensibilitatea CVA aferente unei contrapărţi la un factor de risc înseamnă modificarea relativă a valorii CVA respective, ca urmare a unei modificări a valorii unuia dintre factorii de risc relevanţi ai respectivei CVA, calculată utilizând modelul de CVA reglementară al băncii în conformitate cu punctele 63-69.</w:t>
            </w:r>
          </w:p>
          <w:p w14:paraId="00E6E1C0" w14:textId="6BBE1C1D" w:rsidR="008D7F28" w:rsidRPr="002460E2" w:rsidRDefault="00B26CDE" w:rsidP="00B26CDE">
            <w:pPr>
              <w:tabs>
                <w:tab w:val="left" w:pos="326"/>
              </w:tabs>
              <w:ind w:left="-43"/>
              <w:jc w:val="both"/>
              <w:rPr>
                <w:sz w:val="18"/>
                <w:szCs w:val="18"/>
                <w:lang w:val="en-US"/>
              </w:rPr>
            </w:pPr>
            <w:r w:rsidRPr="002460E2">
              <w:rPr>
                <w:sz w:val="18"/>
                <w:szCs w:val="18"/>
                <w:lang w:val="en-US"/>
              </w:rPr>
              <w:t>19.</w:t>
            </w:r>
            <w:r w:rsidRPr="002460E2">
              <w:rPr>
                <w:sz w:val="18"/>
                <w:szCs w:val="18"/>
                <w:lang w:val="en-US"/>
              </w:rPr>
              <w:tab/>
              <w:t>În sensul subpunctul 17.4., sensibilitatea unei poziţii pe o acoperire eligibilă la un factor de risc înseamnă modificarea relativă a valorii poziţiei respective, ca urmare a unei modificări a valorii unuia dintre factorii de risc relevanţi ai poziţiei respective, calculată utilizând modelul de evaluare al băncii în conformitate cu punctele 63-69.</w:t>
            </w:r>
          </w:p>
        </w:tc>
        <w:tc>
          <w:tcPr>
            <w:tcW w:w="1229" w:type="dxa"/>
          </w:tcPr>
          <w:p w14:paraId="346F2658" w14:textId="5A227815" w:rsidR="008D7F28" w:rsidRPr="002460E2" w:rsidRDefault="002460E2"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61254D18" w14:textId="77777777" w:rsidR="008D7F28" w:rsidRPr="002460E2" w:rsidRDefault="008D7F28" w:rsidP="008D7F28">
            <w:pPr>
              <w:jc w:val="both"/>
              <w:rPr>
                <w:sz w:val="18"/>
                <w:szCs w:val="18"/>
                <w:lang w:val="ro-MD"/>
              </w:rPr>
            </w:pPr>
          </w:p>
        </w:tc>
      </w:tr>
      <w:tr w:rsidR="008D7F28" w:rsidRPr="002460E2" w14:paraId="3AEFE4BD" w14:textId="77777777" w:rsidTr="003F5B3C">
        <w:trPr>
          <w:trHeight w:val="918"/>
        </w:trPr>
        <w:tc>
          <w:tcPr>
            <w:tcW w:w="4253" w:type="dxa"/>
          </w:tcPr>
          <w:p w14:paraId="4EB52797" w14:textId="75CC1FE9" w:rsidR="008D7F28" w:rsidRPr="002460E2" w:rsidRDefault="008D7F28" w:rsidP="008D7F28">
            <w:pPr>
              <w:rPr>
                <w:sz w:val="18"/>
                <w:szCs w:val="18"/>
                <w:lang w:val="en-US"/>
              </w:rPr>
            </w:pPr>
            <w:r w:rsidRPr="002460E2">
              <w:rPr>
                <w:sz w:val="18"/>
                <w:szCs w:val="18"/>
                <w:lang w:val="en-US"/>
              </w:rPr>
              <w:lastRenderedPageBreak/>
              <w:t>(2) În scopul calculării cerințelor de fonduri proprii pentru riscul CVA, se aplică următoarele definiții:</w:t>
            </w:r>
          </w:p>
          <w:p w14:paraId="5CF6FD4D" w14:textId="32F12D2C" w:rsidR="008D7F28" w:rsidRPr="002460E2" w:rsidRDefault="008D7F28" w:rsidP="008D7F28">
            <w:pPr>
              <w:rPr>
                <w:sz w:val="18"/>
                <w:szCs w:val="18"/>
                <w:lang w:val="en-US"/>
              </w:rPr>
            </w:pPr>
            <w:r w:rsidRPr="002460E2">
              <w:rPr>
                <w:sz w:val="18"/>
                <w:szCs w:val="18"/>
                <w:lang w:val="en-US"/>
              </w:rPr>
              <w:t>1. „clasă de risc” înseamnă oricare dintre următoarele categorii:</w:t>
            </w:r>
          </w:p>
          <w:p w14:paraId="2ED3B22E" w14:textId="695ED0D1" w:rsidR="008D7F28" w:rsidRPr="002460E2" w:rsidRDefault="008D7F28" w:rsidP="008D7F28">
            <w:pPr>
              <w:rPr>
                <w:sz w:val="18"/>
                <w:szCs w:val="18"/>
                <w:lang w:val="en-US"/>
              </w:rPr>
            </w:pPr>
            <w:r w:rsidRPr="002460E2">
              <w:rPr>
                <w:sz w:val="18"/>
                <w:szCs w:val="18"/>
                <w:lang w:val="en-US"/>
              </w:rPr>
              <w:t>(a) riscul de rată a dobânzii;</w:t>
            </w:r>
          </w:p>
          <w:p w14:paraId="3987D8E6" w14:textId="4E6FCDAB" w:rsidR="008D7F28" w:rsidRPr="002460E2" w:rsidRDefault="008D7F28" w:rsidP="008D7F28">
            <w:pPr>
              <w:rPr>
                <w:sz w:val="18"/>
                <w:szCs w:val="18"/>
                <w:lang w:val="en-US"/>
              </w:rPr>
            </w:pPr>
            <w:r w:rsidRPr="002460E2">
              <w:rPr>
                <w:sz w:val="18"/>
                <w:szCs w:val="18"/>
                <w:lang w:val="en-US"/>
              </w:rPr>
              <w:t>(b) riscul de marjă de credit al contrapărții;</w:t>
            </w:r>
          </w:p>
          <w:p w14:paraId="1EEEBF51" w14:textId="3231F176" w:rsidR="008D7F28" w:rsidRPr="002460E2" w:rsidRDefault="008D7F28" w:rsidP="008D7F28">
            <w:pPr>
              <w:rPr>
                <w:sz w:val="18"/>
                <w:szCs w:val="18"/>
                <w:lang w:val="en-US"/>
              </w:rPr>
            </w:pPr>
            <w:r w:rsidRPr="002460E2">
              <w:rPr>
                <w:sz w:val="18"/>
                <w:szCs w:val="18"/>
                <w:lang w:val="en-US"/>
              </w:rPr>
              <w:t>(c) riscul de marjă de credit de referință;</w:t>
            </w:r>
          </w:p>
          <w:p w14:paraId="3008A93F" w14:textId="41091BA0" w:rsidR="008D7F28" w:rsidRPr="002460E2" w:rsidRDefault="008D7F28" w:rsidP="008D7F28">
            <w:pPr>
              <w:rPr>
                <w:sz w:val="18"/>
                <w:szCs w:val="18"/>
                <w:lang w:val="en-US"/>
              </w:rPr>
            </w:pPr>
            <w:r w:rsidRPr="002460E2">
              <w:rPr>
                <w:sz w:val="18"/>
                <w:szCs w:val="18"/>
                <w:lang w:val="en-US"/>
              </w:rPr>
              <w:t>(d) riscul de devalorizare a titlurilor de capital;</w:t>
            </w:r>
          </w:p>
          <w:p w14:paraId="72FA8DCF" w14:textId="1575A836" w:rsidR="008D7F28" w:rsidRPr="002460E2" w:rsidRDefault="008D7F28" w:rsidP="008D7F28">
            <w:pPr>
              <w:rPr>
                <w:sz w:val="18"/>
                <w:szCs w:val="18"/>
                <w:lang w:val="en-US"/>
              </w:rPr>
            </w:pPr>
            <w:r w:rsidRPr="002460E2">
              <w:rPr>
                <w:sz w:val="18"/>
                <w:szCs w:val="18"/>
                <w:lang w:val="en-US"/>
              </w:rPr>
              <w:t>(e) riscul de marfă;</w:t>
            </w:r>
          </w:p>
          <w:p w14:paraId="764DCB4D" w14:textId="5DC2E659" w:rsidR="008D7F28" w:rsidRPr="002460E2" w:rsidRDefault="008D7F28" w:rsidP="008D7F28">
            <w:pPr>
              <w:rPr>
                <w:sz w:val="18"/>
                <w:szCs w:val="18"/>
                <w:lang w:val="en-US"/>
              </w:rPr>
            </w:pPr>
            <w:r w:rsidRPr="002460E2">
              <w:rPr>
                <w:sz w:val="18"/>
                <w:szCs w:val="18"/>
                <w:lang w:val="en-US"/>
              </w:rPr>
              <w:t>(f) riscul valutar;</w:t>
            </w:r>
          </w:p>
          <w:p w14:paraId="5C2B4F2A" w14:textId="190BD028" w:rsidR="008D7F28" w:rsidRPr="002460E2" w:rsidRDefault="008D7F28" w:rsidP="008D7F28">
            <w:pPr>
              <w:rPr>
                <w:sz w:val="18"/>
                <w:szCs w:val="18"/>
                <w:lang w:val="en-US"/>
              </w:rPr>
            </w:pPr>
            <w:r w:rsidRPr="002460E2">
              <w:rPr>
                <w:sz w:val="18"/>
                <w:szCs w:val="18"/>
                <w:lang w:val="en-US"/>
              </w:rPr>
              <w:t>2. „portofoliu CVA” înseamnă portofoliul compus din CVA agregată și acoperirile eligibile menționate la alineatul (1) litera (d);</w:t>
            </w:r>
          </w:p>
          <w:p w14:paraId="75E340A9" w14:textId="3E6FD3FB" w:rsidR="008D7F28" w:rsidRPr="002460E2" w:rsidRDefault="008D7F28" w:rsidP="008D7F28">
            <w:pPr>
              <w:rPr>
                <w:sz w:val="18"/>
                <w:szCs w:val="18"/>
                <w:lang w:val="en-US"/>
              </w:rPr>
            </w:pPr>
            <w:r w:rsidRPr="002460E2">
              <w:rPr>
                <w:sz w:val="18"/>
                <w:szCs w:val="18"/>
                <w:lang w:val="en-US"/>
              </w:rPr>
              <w:t xml:space="preserve">3. „CVA agregată” înseamnă suma CVA-urilor calculate utilizând modelul de CVA reglementară </w:t>
            </w:r>
            <w:r w:rsidRPr="002460E2">
              <w:rPr>
                <w:sz w:val="18"/>
                <w:szCs w:val="18"/>
                <w:lang w:val="en-US"/>
              </w:rPr>
              <w:lastRenderedPageBreak/>
              <w:t>pentru contrapărțile menționate la alineatul (1) primul paragraf.</w:t>
            </w:r>
          </w:p>
        </w:tc>
        <w:tc>
          <w:tcPr>
            <w:tcW w:w="3685" w:type="dxa"/>
            <w:shd w:val="clear" w:color="auto" w:fill="auto"/>
          </w:tcPr>
          <w:p w14:paraId="6ED01368" w14:textId="3DDC5105" w:rsidR="008D7F28" w:rsidRPr="002460E2" w:rsidRDefault="008D7F28" w:rsidP="008D7F28">
            <w:pPr>
              <w:jc w:val="both"/>
              <w:rPr>
                <w:sz w:val="18"/>
                <w:szCs w:val="18"/>
                <w:lang w:val="ro-RO"/>
              </w:rPr>
            </w:pPr>
            <w:r w:rsidRPr="002460E2">
              <w:rPr>
                <w:sz w:val="18"/>
                <w:szCs w:val="18"/>
                <w:lang w:val="ro-MD"/>
              </w:rPr>
              <w:lastRenderedPageBreak/>
              <w:t>3.</w:t>
            </w:r>
            <w:r w:rsidRPr="002460E2">
              <w:rPr>
                <w:sz w:val="18"/>
                <w:szCs w:val="18"/>
                <w:lang w:val="ro-RO"/>
              </w:rPr>
              <w:t xml:space="preserve"> În scopul calculării cerințelor de fonduri proprii pentru riscul CVA, se aplică următoarele definiții:</w:t>
            </w:r>
          </w:p>
          <w:p w14:paraId="39BC6A01" w14:textId="3FD30433" w:rsidR="008D7F28" w:rsidRPr="002460E2" w:rsidRDefault="008D7F28" w:rsidP="008D7F28">
            <w:pPr>
              <w:tabs>
                <w:tab w:val="left" w:pos="540"/>
              </w:tabs>
              <w:ind w:left="-43"/>
              <w:jc w:val="both"/>
              <w:rPr>
                <w:sz w:val="18"/>
                <w:szCs w:val="18"/>
                <w:lang w:val="ro-MD"/>
              </w:rPr>
            </w:pPr>
            <w:r w:rsidRPr="002460E2">
              <w:rPr>
                <w:sz w:val="18"/>
                <w:szCs w:val="18"/>
                <w:lang w:val="ro-RO"/>
              </w:rPr>
              <w:t>...</w:t>
            </w:r>
          </w:p>
          <w:p w14:paraId="0C3B7970" w14:textId="77777777" w:rsidR="008D7F28" w:rsidRPr="002460E2" w:rsidRDefault="008D7F28" w:rsidP="008D7F28">
            <w:pPr>
              <w:ind w:firstLine="426"/>
              <w:jc w:val="both"/>
              <w:rPr>
                <w:sz w:val="18"/>
                <w:szCs w:val="18"/>
                <w:lang w:val="ro-RO"/>
              </w:rPr>
            </w:pPr>
            <w:r w:rsidRPr="002460E2">
              <w:rPr>
                <w:i/>
                <w:iCs/>
                <w:sz w:val="18"/>
                <w:szCs w:val="18"/>
                <w:lang w:val="ro-RO"/>
              </w:rPr>
              <w:t>clasă de risc</w:t>
            </w:r>
            <w:r w:rsidRPr="002460E2">
              <w:rPr>
                <w:sz w:val="18"/>
                <w:szCs w:val="18"/>
                <w:lang w:val="ro-RO"/>
              </w:rPr>
              <w:t xml:space="preserve"> - oricare dintre următoarele categorii: riscul de rată a dobânzii; riscul de marjă de credit al contrapărții; riscul de marjă de credit de referință; riscul de devalorizare a titlurilor de capital; riscul de marfă; riscul valutar; </w:t>
            </w:r>
          </w:p>
          <w:p w14:paraId="517FFB89" w14:textId="2DEEF693" w:rsidR="008D7F28" w:rsidRPr="002460E2" w:rsidRDefault="008D7F28" w:rsidP="008D7F28">
            <w:pPr>
              <w:ind w:firstLine="426"/>
              <w:jc w:val="both"/>
              <w:rPr>
                <w:sz w:val="18"/>
                <w:szCs w:val="18"/>
                <w:lang w:val="ro-RO"/>
              </w:rPr>
            </w:pPr>
            <w:r w:rsidRPr="002460E2">
              <w:rPr>
                <w:sz w:val="18"/>
                <w:szCs w:val="18"/>
                <w:lang w:val="ro-RO"/>
              </w:rPr>
              <w:t>...</w:t>
            </w:r>
          </w:p>
          <w:p w14:paraId="4F5F445B" w14:textId="5487C3E6" w:rsidR="008D7F28" w:rsidRPr="002460E2" w:rsidRDefault="008D7F28" w:rsidP="008D7F28">
            <w:pPr>
              <w:ind w:firstLine="426"/>
              <w:jc w:val="both"/>
              <w:rPr>
                <w:sz w:val="18"/>
                <w:szCs w:val="18"/>
                <w:lang w:val="ro-RO"/>
              </w:rPr>
            </w:pPr>
            <w:r w:rsidRPr="002460E2">
              <w:rPr>
                <w:i/>
                <w:iCs/>
                <w:sz w:val="18"/>
                <w:szCs w:val="18"/>
                <w:lang w:val="ro-RO"/>
              </w:rPr>
              <w:t>portofoliu CVA</w:t>
            </w:r>
            <w:r w:rsidRPr="002460E2">
              <w:rPr>
                <w:sz w:val="18"/>
                <w:szCs w:val="18"/>
                <w:lang w:val="ro-RO"/>
              </w:rPr>
              <w:t xml:space="preserve"> - înseamnă portofoliul compus din CVA agregată și acoperirile eligibile menționate la </w:t>
            </w:r>
            <w:r w:rsidR="00001D9C" w:rsidRPr="002460E2">
              <w:rPr>
                <w:sz w:val="18"/>
                <w:szCs w:val="18"/>
                <w:lang w:val="ro-RO"/>
              </w:rPr>
              <w:t>subpunctul 13.4.;</w:t>
            </w:r>
          </w:p>
          <w:p w14:paraId="2AB29BB5" w14:textId="51069947" w:rsidR="008D7F28" w:rsidRPr="002460E2" w:rsidRDefault="008D7F28" w:rsidP="008D7F28">
            <w:pPr>
              <w:ind w:firstLine="426"/>
              <w:jc w:val="both"/>
              <w:rPr>
                <w:sz w:val="18"/>
                <w:szCs w:val="18"/>
                <w:lang w:val="ro-RO"/>
              </w:rPr>
            </w:pPr>
            <w:r w:rsidRPr="002460E2">
              <w:rPr>
                <w:sz w:val="18"/>
                <w:szCs w:val="18"/>
                <w:lang w:val="ro-RO"/>
              </w:rPr>
              <w:t>...</w:t>
            </w:r>
          </w:p>
          <w:p w14:paraId="57E02CA7" w14:textId="56ED455B" w:rsidR="008D7F28" w:rsidRPr="002460E2" w:rsidRDefault="008D7F28" w:rsidP="008D7F28">
            <w:pPr>
              <w:ind w:firstLine="426"/>
              <w:jc w:val="both"/>
              <w:rPr>
                <w:sz w:val="18"/>
                <w:szCs w:val="18"/>
                <w:lang w:val="ro-RO"/>
              </w:rPr>
            </w:pPr>
            <w:r w:rsidRPr="002460E2">
              <w:rPr>
                <w:i/>
                <w:iCs/>
                <w:sz w:val="18"/>
                <w:szCs w:val="18"/>
                <w:lang w:val="ro-RO"/>
              </w:rPr>
              <w:lastRenderedPageBreak/>
              <w:t>CVA agregată</w:t>
            </w:r>
            <w:r w:rsidRPr="002460E2">
              <w:rPr>
                <w:sz w:val="18"/>
                <w:szCs w:val="18"/>
                <w:lang w:val="ro-RO"/>
              </w:rPr>
              <w:t xml:space="preserve"> - înseamnă suma CVA-urilor calculate utilizând modelul de CVA reglementară pentru contrapărțile menționate </w:t>
            </w:r>
            <w:r w:rsidR="00001D9C" w:rsidRPr="002460E2">
              <w:rPr>
                <w:sz w:val="18"/>
                <w:szCs w:val="18"/>
                <w:lang w:val="ro-RO"/>
              </w:rPr>
              <w:t>la punctul 13.</w:t>
            </w:r>
          </w:p>
          <w:p w14:paraId="2A348703" w14:textId="14516A21" w:rsidR="008D7F28" w:rsidRPr="002460E2" w:rsidRDefault="008D7F28" w:rsidP="008D7F28">
            <w:pPr>
              <w:tabs>
                <w:tab w:val="left" w:pos="540"/>
              </w:tabs>
              <w:ind w:left="-43"/>
              <w:jc w:val="both"/>
              <w:rPr>
                <w:b/>
                <w:bCs/>
                <w:sz w:val="18"/>
                <w:szCs w:val="18"/>
                <w:lang w:val="ro-RO"/>
              </w:rPr>
            </w:pPr>
          </w:p>
        </w:tc>
        <w:tc>
          <w:tcPr>
            <w:tcW w:w="1229" w:type="dxa"/>
          </w:tcPr>
          <w:p w14:paraId="3C2C3C0E" w14:textId="10C998C0" w:rsidR="008D7F28" w:rsidRPr="002460E2" w:rsidRDefault="002460E2"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53D06D6A" w14:textId="77777777" w:rsidR="008D7F28" w:rsidRPr="002460E2" w:rsidRDefault="008D7F28" w:rsidP="008D7F28">
            <w:pPr>
              <w:jc w:val="both"/>
              <w:rPr>
                <w:sz w:val="18"/>
                <w:szCs w:val="18"/>
                <w:lang w:val="ro-MD"/>
              </w:rPr>
            </w:pPr>
          </w:p>
        </w:tc>
      </w:tr>
      <w:tr w:rsidR="008D7F28" w:rsidRPr="002460E2" w14:paraId="0BF418ED" w14:textId="77777777" w:rsidTr="003F5B3C">
        <w:trPr>
          <w:trHeight w:val="918"/>
        </w:trPr>
        <w:tc>
          <w:tcPr>
            <w:tcW w:w="4253" w:type="dxa"/>
          </w:tcPr>
          <w:p w14:paraId="32B54BCF" w14:textId="6A5E4AFE" w:rsidR="008D7F28" w:rsidRPr="002460E2" w:rsidRDefault="008D7F28" w:rsidP="008D7F28">
            <w:pPr>
              <w:rPr>
                <w:sz w:val="18"/>
                <w:szCs w:val="18"/>
                <w:lang w:val="en-US"/>
              </w:rPr>
            </w:pPr>
            <w:r w:rsidRPr="002460E2">
              <w:rPr>
                <w:sz w:val="18"/>
                <w:szCs w:val="18"/>
                <w:lang w:val="en-US"/>
              </w:rPr>
              <w:t>(3) Instituțiile determină cerințele de fonduri proprii pentru riscul CVA conform abordării standardizate ca suma următoarelor cerințe de fonduri proprii calculate în conformitate cu articolul 383b:</w:t>
            </w:r>
          </w:p>
          <w:p w14:paraId="17991C4B" w14:textId="632418A0" w:rsidR="008D7F28" w:rsidRPr="002460E2" w:rsidRDefault="008D7F28" w:rsidP="008D7F28">
            <w:pPr>
              <w:rPr>
                <w:sz w:val="18"/>
                <w:szCs w:val="18"/>
                <w:lang w:val="en-US"/>
              </w:rPr>
            </w:pPr>
            <w:r w:rsidRPr="002460E2">
              <w:rPr>
                <w:sz w:val="18"/>
                <w:szCs w:val="18"/>
                <w:lang w:val="en-US"/>
              </w:rPr>
              <w:t>(a) cerințele de fonduri proprii pentru riscul delta care reflectă riscul de modificare a portofoliului CVA al instituției ca urmare a variațiilor apărute la nivelul factorilor de risc relevanți care nu sunt legați de volatilitate;</w:t>
            </w:r>
          </w:p>
          <w:p w14:paraId="6ED9DC59" w14:textId="5806C575" w:rsidR="008D7F28" w:rsidRPr="002460E2" w:rsidRDefault="008D7F28" w:rsidP="008D7F28">
            <w:pPr>
              <w:rPr>
                <w:sz w:val="18"/>
                <w:szCs w:val="18"/>
                <w:lang w:val="en-US"/>
              </w:rPr>
            </w:pPr>
            <w:r w:rsidRPr="002460E2">
              <w:rPr>
                <w:sz w:val="18"/>
                <w:szCs w:val="18"/>
                <w:lang w:val="en-US"/>
              </w:rPr>
              <w:t>(b) cerințele de fonduri proprii pentru riscul vega care reflectă riscul de modificare a portofoliului CVA al instituției ca urmare a variațiilor apărute la nivelul factorilor de risc relevanți legați de volatilitate.</w:t>
            </w:r>
          </w:p>
        </w:tc>
        <w:tc>
          <w:tcPr>
            <w:tcW w:w="3685" w:type="dxa"/>
            <w:shd w:val="clear" w:color="auto" w:fill="auto"/>
          </w:tcPr>
          <w:p w14:paraId="69BBE276" w14:textId="77777777" w:rsidR="003E007B" w:rsidRPr="002460E2" w:rsidRDefault="003E007B" w:rsidP="003E007B">
            <w:pPr>
              <w:tabs>
                <w:tab w:val="left" w:pos="540"/>
              </w:tabs>
              <w:ind w:left="-43"/>
              <w:jc w:val="both"/>
              <w:rPr>
                <w:sz w:val="18"/>
                <w:szCs w:val="18"/>
                <w:lang w:val="en-US"/>
              </w:rPr>
            </w:pPr>
            <w:r w:rsidRPr="002460E2">
              <w:rPr>
                <w:sz w:val="18"/>
                <w:szCs w:val="18"/>
                <w:lang w:val="en-US"/>
              </w:rPr>
              <w:t>20.</w:t>
            </w:r>
            <w:r w:rsidRPr="002460E2">
              <w:rPr>
                <w:sz w:val="18"/>
                <w:szCs w:val="18"/>
                <w:lang w:val="en-US"/>
              </w:rPr>
              <w:tab/>
              <w:t>Băncile determină cerințele de fonduri proprii pentru riscul CVA conform abordării standardizate ca suma următoarelor cerințe de fonduri proprii calculate în conformitate cu punctele 28-40:</w:t>
            </w:r>
          </w:p>
          <w:p w14:paraId="67EBACE5" w14:textId="77777777" w:rsidR="003E007B" w:rsidRPr="002460E2" w:rsidRDefault="003E007B" w:rsidP="003E007B">
            <w:pPr>
              <w:tabs>
                <w:tab w:val="left" w:pos="540"/>
              </w:tabs>
              <w:ind w:left="-43"/>
              <w:jc w:val="both"/>
              <w:rPr>
                <w:sz w:val="18"/>
                <w:szCs w:val="18"/>
                <w:lang w:val="en-US"/>
              </w:rPr>
            </w:pPr>
            <w:r w:rsidRPr="002460E2">
              <w:rPr>
                <w:sz w:val="18"/>
                <w:szCs w:val="18"/>
                <w:lang w:val="en-US"/>
              </w:rPr>
              <w:t>20.1.</w:t>
            </w:r>
            <w:r w:rsidRPr="002460E2">
              <w:rPr>
                <w:sz w:val="18"/>
                <w:szCs w:val="18"/>
                <w:lang w:val="en-US"/>
              </w:rPr>
              <w:tab/>
              <w:t>cerințele de fonduri proprii pentru riscul delta care reflectă riscul de modificare a portofoliului CVA al băncii ca urmare a variațiilor apărute la nivelul factorilor de risc relevanți care nu sunt legați de volatilitate;</w:t>
            </w:r>
          </w:p>
          <w:p w14:paraId="36E735F3" w14:textId="5754B9D6" w:rsidR="008D7F28" w:rsidRPr="002460E2" w:rsidRDefault="003E007B" w:rsidP="003E007B">
            <w:pPr>
              <w:tabs>
                <w:tab w:val="left" w:pos="540"/>
              </w:tabs>
              <w:ind w:left="-43"/>
              <w:jc w:val="both"/>
              <w:rPr>
                <w:b/>
                <w:bCs/>
                <w:sz w:val="18"/>
                <w:szCs w:val="18"/>
                <w:lang w:val="ro-MD"/>
              </w:rPr>
            </w:pPr>
            <w:r w:rsidRPr="002460E2">
              <w:rPr>
                <w:sz w:val="18"/>
                <w:szCs w:val="18"/>
                <w:lang w:val="en-US"/>
              </w:rPr>
              <w:t>20.2.</w:t>
            </w:r>
            <w:r w:rsidRPr="002460E2">
              <w:rPr>
                <w:sz w:val="18"/>
                <w:szCs w:val="18"/>
                <w:lang w:val="en-US"/>
              </w:rPr>
              <w:tab/>
              <w:t>cerințele de fonduri proprii pentru riscul vega care reflectă riscul de modificare a portofoliului CVA al băncii ca urmare a variațiilor apărute la nivelul factorilor de risc relevanți legați de volatilitate.</w:t>
            </w:r>
          </w:p>
        </w:tc>
        <w:tc>
          <w:tcPr>
            <w:tcW w:w="1229" w:type="dxa"/>
          </w:tcPr>
          <w:p w14:paraId="5F0D693E" w14:textId="05FD7CE9"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BC9581B" w14:textId="77777777" w:rsidR="008D7F28" w:rsidRPr="002460E2" w:rsidRDefault="008D7F28" w:rsidP="008D7F28">
            <w:pPr>
              <w:jc w:val="both"/>
              <w:rPr>
                <w:sz w:val="18"/>
                <w:szCs w:val="18"/>
                <w:lang w:val="ro-MD"/>
              </w:rPr>
            </w:pPr>
          </w:p>
        </w:tc>
      </w:tr>
      <w:tr w:rsidR="008D7F28" w:rsidRPr="002460E2" w14:paraId="08352A9D" w14:textId="77777777" w:rsidTr="003F5B3C">
        <w:trPr>
          <w:trHeight w:val="918"/>
        </w:trPr>
        <w:tc>
          <w:tcPr>
            <w:tcW w:w="4253" w:type="dxa"/>
          </w:tcPr>
          <w:p w14:paraId="2ECF8F1C" w14:textId="77777777" w:rsidR="008D7F28" w:rsidRPr="002460E2" w:rsidRDefault="008D7F28" w:rsidP="008D7F28">
            <w:pPr>
              <w:rPr>
                <w:i/>
                <w:iCs/>
                <w:sz w:val="18"/>
                <w:szCs w:val="18"/>
                <w:lang w:val="en-US"/>
              </w:rPr>
            </w:pPr>
            <w:r w:rsidRPr="002460E2">
              <w:rPr>
                <w:i/>
                <w:iCs/>
                <w:sz w:val="18"/>
                <w:szCs w:val="18"/>
                <w:lang w:val="en-US"/>
              </w:rPr>
              <w:t>Articolul 383a</w:t>
            </w:r>
          </w:p>
          <w:p w14:paraId="6BB1E1C9" w14:textId="77777777" w:rsidR="008D7F28" w:rsidRPr="002460E2" w:rsidRDefault="008D7F28" w:rsidP="008D7F28">
            <w:pPr>
              <w:rPr>
                <w:b/>
                <w:bCs/>
                <w:sz w:val="18"/>
                <w:szCs w:val="18"/>
                <w:lang w:val="en-US"/>
              </w:rPr>
            </w:pPr>
            <w:r w:rsidRPr="002460E2">
              <w:rPr>
                <w:b/>
                <w:bCs/>
                <w:sz w:val="18"/>
                <w:szCs w:val="18"/>
                <w:lang w:val="en-US"/>
              </w:rPr>
              <w:t>Modelul de CVA reglementară</w:t>
            </w:r>
          </w:p>
          <w:p w14:paraId="20D2ABDF" w14:textId="636B7435" w:rsidR="008D7F28" w:rsidRPr="002460E2" w:rsidRDefault="008D7F28" w:rsidP="008D7F28">
            <w:pPr>
              <w:rPr>
                <w:sz w:val="18"/>
                <w:szCs w:val="18"/>
                <w:lang w:val="en-US"/>
              </w:rPr>
            </w:pPr>
            <w:r w:rsidRPr="002460E2">
              <w:rPr>
                <w:sz w:val="18"/>
                <w:szCs w:val="18"/>
                <w:lang w:val="en-US"/>
              </w:rPr>
              <w:t>(1) Un model de CVA reglementară utilizat pentru calcularea cerințelor de fonduri proprii pentru riscul CVA în conformitate cu articolul 383 este solid din punct de vedere conceptual, se pune în aplicare cu integritate și respectă toate cerințele următoare:</w:t>
            </w:r>
          </w:p>
          <w:p w14:paraId="3B179B3D" w14:textId="2C55FED4" w:rsidR="008D7F28" w:rsidRPr="002460E2" w:rsidRDefault="008D7F28" w:rsidP="008D7F28">
            <w:pPr>
              <w:rPr>
                <w:sz w:val="18"/>
                <w:szCs w:val="18"/>
                <w:lang w:val="en-US"/>
              </w:rPr>
            </w:pPr>
            <w:r w:rsidRPr="002460E2">
              <w:rPr>
                <w:sz w:val="18"/>
                <w:szCs w:val="18"/>
                <w:lang w:val="en-US"/>
              </w:rPr>
              <w:t>(a) modelul de CVA reglementară este capabil să modeleze CVA aferentă unei anumite contrapărți, recunoscând acordurile de compensare și contractele în marjă la nivel de set de compensare, dacă este cazul, în conformitate cu prezentul articol;</w:t>
            </w:r>
          </w:p>
          <w:p w14:paraId="2E59A34D" w14:textId="4EFD6F98" w:rsidR="008D7F28" w:rsidRPr="002460E2" w:rsidRDefault="008D7F28" w:rsidP="008D7F28">
            <w:pPr>
              <w:rPr>
                <w:sz w:val="18"/>
                <w:szCs w:val="18"/>
                <w:lang w:val="en-US"/>
              </w:rPr>
            </w:pPr>
            <w:r w:rsidRPr="002460E2">
              <w:rPr>
                <w:sz w:val="18"/>
                <w:szCs w:val="18"/>
                <w:lang w:val="en-US"/>
              </w:rPr>
              <w:t>(b) instituția estimează probabilitățile de nerambursare ale contrapărții pe baza marjelor de credit ale contrapărții și a pierderii în caz de nerambursare conform consensului preconizat al pieței pentru contrapartea respectivă;</w:t>
            </w:r>
          </w:p>
          <w:p w14:paraId="3FAB9828" w14:textId="6BAF0C1B" w:rsidR="008D7F28" w:rsidRPr="002460E2" w:rsidRDefault="008D7F28" w:rsidP="008D7F28">
            <w:pPr>
              <w:rPr>
                <w:sz w:val="18"/>
                <w:szCs w:val="18"/>
                <w:lang w:val="en-US"/>
              </w:rPr>
            </w:pPr>
            <w:r w:rsidRPr="002460E2">
              <w:rPr>
                <w:sz w:val="18"/>
                <w:szCs w:val="18"/>
                <w:lang w:val="en-US"/>
              </w:rPr>
              <w:lastRenderedPageBreak/>
              <w:t>(c) pierderea așteptată în caz de nerambursare menționată la litera (a) este aceeași cu pierderea în caz de nerambursare conform consensului preconizat al pieței menționată la litera (b), cu excepția cazului în care instituția poate demonstra faptul că rangul portofoliului de tranzacții cu contrapartea respectivă diferă de rangul obligațiunilor negarantate cu rang superior emise de contrapartea respectivă;</w:t>
            </w:r>
          </w:p>
          <w:p w14:paraId="544323AC" w14:textId="35706B9C" w:rsidR="008D7F28" w:rsidRPr="002460E2" w:rsidRDefault="008D7F28" w:rsidP="008D7F28">
            <w:pPr>
              <w:rPr>
                <w:sz w:val="18"/>
                <w:szCs w:val="18"/>
                <w:lang w:val="en-US"/>
              </w:rPr>
            </w:pPr>
            <w:r w:rsidRPr="002460E2">
              <w:rPr>
                <w:sz w:val="18"/>
                <w:szCs w:val="18"/>
                <w:lang w:val="en-US"/>
              </w:rPr>
              <w:t>(d) la fiecare moment ulterior, expunerea viitoare actualizată simulată a portofoliului de tranzacții cu o contraparte se calculează cu ajutorul unui model de calcul al expunerii prin reevaluarea tuturor tranzacțiilor din portofoliul respectiv, pe baza modificărilor comune simulate ale factorilor de risc de piață care sunt semnificativi pentru acele tranzacții, utilizând un număr adecvat de scenarii și actualizând prețurile până la data efectuării calculului pe baza ratelor dobânzii fără risc;</w:t>
            </w:r>
          </w:p>
          <w:p w14:paraId="0A3DFF07" w14:textId="34DD06A1" w:rsidR="008D7F28" w:rsidRPr="002460E2" w:rsidRDefault="008D7F28" w:rsidP="008D7F28">
            <w:pPr>
              <w:rPr>
                <w:sz w:val="18"/>
                <w:szCs w:val="18"/>
                <w:lang w:val="en-US"/>
              </w:rPr>
            </w:pPr>
            <w:r w:rsidRPr="002460E2">
              <w:rPr>
                <w:sz w:val="18"/>
                <w:szCs w:val="18"/>
                <w:lang w:val="en-US"/>
              </w:rPr>
              <w:t>(e) modelul de CVA reglementară este capabil să modeleze dependența semnificativă dintre expunerea viitoare actualizată simulată a portofoliului de tranzacții și marjele de credit ale contrapărții;</w:t>
            </w:r>
          </w:p>
          <w:p w14:paraId="096B74C7" w14:textId="1E5428DB" w:rsidR="008D7F28" w:rsidRPr="002460E2" w:rsidRDefault="008D7F28" w:rsidP="008D7F28">
            <w:pPr>
              <w:rPr>
                <w:sz w:val="18"/>
                <w:szCs w:val="18"/>
                <w:lang w:val="en-US"/>
              </w:rPr>
            </w:pPr>
            <w:r w:rsidRPr="002460E2">
              <w:rPr>
                <w:sz w:val="18"/>
                <w:szCs w:val="18"/>
                <w:lang w:val="en-US"/>
              </w:rPr>
              <w:t>(f) în cazul în care tranzacțiile din portofoliu sunt incluse într-un set de compensare care face obiectul unui contract în marjă și al evaluării zilnice la prețul pieței, garanțiile reale furnizate și primite ca parte a contractului respectiv sunt recunoscute ca fiind un factor de diminuare a riscului în expunerea viitoare actualizată simulată, dacă sunt îndeplinite toate condițiile următoare:</w:t>
            </w:r>
          </w:p>
          <w:p w14:paraId="10794F70" w14:textId="1DB00F49" w:rsidR="008D7F28" w:rsidRPr="002460E2" w:rsidRDefault="008D7F28" w:rsidP="008D7F28">
            <w:pPr>
              <w:rPr>
                <w:sz w:val="18"/>
                <w:szCs w:val="18"/>
                <w:lang w:val="en-US"/>
              </w:rPr>
            </w:pPr>
            <w:r w:rsidRPr="002460E2">
              <w:rPr>
                <w:sz w:val="18"/>
                <w:szCs w:val="18"/>
                <w:lang w:val="en-US"/>
              </w:rPr>
              <w:t>(i) instituția determină perioada de risc de marjă pentru setul de compensare respectiv în conformitate cu cerințele prevăzute la articolul 285 alineatele (2) și (5) și reflectă perioada de marjă respectivă în calculul expunerii viitoare actualizate simulate;</w:t>
            </w:r>
          </w:p>
          <w:p w14:paraId="46CE5864" w14:textId="06472011" w:rsidR="008D7F28" w:rsidRPr="002460E2" w:rsidRDefault="008D7F28" w:rsidP="008D7F28">
            <w:pPr>
              <w:rPr>
                <w:sz w:val="18"/>
                <w:szCs w:val="18"/>
                <w:lang w:val="en-US"/>
              </w:rPr>
            </w:pPr>
            <w:r w:rsidRPr="002460E2">
              <w:rPr>
                <w:sz w:val="18"/>
                <w:szCs w:val="18"/>
                <w:lang w:val="en-US"/>
              </w:rPr>
              <w:lastRenderedPageBreak/>
              <w:t>(ii) toate caracteristicile aplicabile ale contractului în marjă, inclusiv frecvența apelurilor în marjă, tipul de garanție reală eligibilă contractual, cuantumurile-prag, sumele minime ale transferurilor, sumele independente și marjele inițiale atât pentru instituție, cât și pentru contraparte sunt reflectate în mod corespunzător în calculul expunerii viitoare actualizate simulate;</w:t>
            </w:r>
          </w:p>
          <w:p w14:paraId="2F72FC53" w14:textId="76C6CF43" w:rsidR="008D7F28" w:rsidRPr="002460E2" w:rsidRDefault="008D7F28" w:rsidP="008D7F28">
            <w:pPr>
              <w:rPr>
                <w:sz w:val="18"/>
                <w:szCs w:val="18"/>
                <w:lang w:val="en-US"/>
              </w:rPr>
            </w:pPr>
            <w:r w:rsidRPr="002460E2">
              <w:rPr>
                <w:sz w:val="18"/>
                <w:szCs w:val="18"/>
                <w:lang w:val="en-US"/>
              </w:rPr>
              <w:t>(iii) instituția a înființat o unitate de administrare a garanțiilor reale care se conformează articolului 287 pentru toate garanțiile reale recunoscute în scopul calculării cerințelor de fonduri proprii pentru riscul CVA utilizând abordarea standardizată.</w:t>
            </w:r>
          </w:p>
          <w:p w14:paraId="6946D34B" w14:textId="77777777" w:rsidR="008D7F28" w:rsidRPr="002460E2" w:rsidRDefault="008D7F28" w:rsidP="008D7F28">
            <w:pPr>
              <w:rPr>
                <w:sz w:val="18"/>
                <w:szCs w:val="18"/>
                <w:lang w:val="en-US"/>
              </w:rPr>
            </w:pPr>
            <w:r w:rsidRPr="002460E2">
              <w:rPr>
                <w:sz w:val="18"/>
                <w:szCs w:val="18"/>
                <w:lang w:val="en-US"/>
              </w:rPr>
              <w:t>În sensul primului paragraf litera (a), CVA are semn pozitiv și se calculează în funcție de pierderile așteptate în caz de nerambursare ale contrapărții, de un set adecvat de probabilități de nerambursare ale contrapărții la momente viitoare și de un set adecvat de expuneri viitoare actualizate simulate ale portofoliului de tranzacții cu contrapartea respectivă în momente viitoare până la scadența tranzacției cu cea mai lungă durată din portofoliul respectiv.</w:t>
            </w:r>
          </w:p>
          <w:p w14:paraId="5D24C799" w14:textId="77777777" w:rsidR="008D7F28" w:rsidRPr="002460E2" w:rsidRDefault="008D7F28" w:rsidP="008D7F28">
            <w:pPr>
              <w:rPr>
                <w:sz w:val="18"/>
                <w:szCs w:val="18"/>
                <w:lang w:val="en-US"/>
              </w:rPr>
            </w:pPr>
            <w:r w:rsidRPr="002460E2">
              <w:rPr>
                <w:sz w:val="18"/>
                <w:szCs w:val="18"/>
                <w:lang w:val="en-US"/>
              </w:rPr>
              <w:t>În scopul demonstrării menționate la primul paragraf litera (c), garanțiile reale primite de la contraparte nu modifică rangul expunerii.</w:t>
            </w:r>
          </w:p>
          <w:p w14:paraId="6870FFC7" w14:textId="6ACC8E31" w:rsidR="008D7F28" w:rsidRPr="002460E2" w:rsidRDefault="008D7F28" w:rsidP="008D7F28">
            <w:pPr>
              <w:rPr>
                <w:sz w:val="18"/>
                <w:szCs w:val="18"/>
                <w:lang w:val="en-US"/>
              </w:rPr>
            </w:pPr>
            <w:r w:rsidRPr="002460E2">
              <w:rPr>
                <w:sz w:val="18"/>
                <w:szCs w:val="18"/>
                <w:lang w:val="en-US"/>
              </w:rPr>
              <w:t>În sensul primului paragraf litera (f) punctul (iii) de la prezentul alineat, în cazul în care a înființat deja o unitate de administrare a garanțiilor reale pentru a utiliza metoda modelului intern menționată la articolul 283, instituția nu este obligată să înființeze o unitate suplimentară de administrare a garanțiilor reale dacă instituția respectivă demonstrează autorității sale competente că unitatea respectivă respectă cerințele prevăzute la articolul 287 pentru garanțiile reale recunoscute în scopul calculării cerințelor de fonduri proprii pentru riscul CVA utilizând abordarea standardizată.</w:t>
            </w:r>
          </w:p>
        </w:tc>
        <w:tc>
          <w:tcPr>
            <w:tcW w:w="3685" w:type="dxa"/>
            <w:shd w:val="clear" w:color="auto" w:fill="auto"/>
          </w:tcPr>
          <w:p w14:paraId="1BF59910" w14:textId="77777777" w:rsidR="008D7F28" w:rsidRPr="002460E2" w:rsidRDefault="008D7F28" w:rsidP="008D7F28">
            <w:pPr>
              <w:pStyle w:val="NoSpacing"/>
              <w:tabs>
                <w:tab w:val="left" w:pos="328"/>
              </w:tabs>
              <w:jc w:val="both"/>
              <w:rPr>
                <w:rFonts w:ascii="Times New Roman" w:hAnsi="Times New Roman" w:cs="Times New Roman"/>
                <w:sz w:val="18"/>
                <w:szCs w:val="18"/>
                <w:lang w:val="ro-MD"/>
              </w:rPr>
            </w:pPr>
            <w:r w:rsidRPr="002460E2">
              <w:rPr>
                <w:rFonts w:ascii="Times New Roman" w:hAnsi="Times New Roman" w:cs="Times New Roman"/>
                <w:i/>
                <w:iCs/>
                <w:sz w:val="18"/>
                <w:szCs w:val="18"/>
                <w:lang w:val="ro-MD"/>
              </w:rPr>
              <w:lastRenderedPageBreak/>
              <w:t>Secțiunea</w:t>
            </w:r>
            <w:r w:rsidRPr="002460E2">
              <w:rPr>
                <w:rFonts w:ascii="Times New Roman" w:hAnsi="Times New Roman" w:cs="Times New Roman"/>
                <w:sz w:val="18"/>
                <w:szCs w:val="18"/>
                <w:lang w:val="ro-MD"/>
              </w:rPr>
              <w:t xml:space="preserve"> </w:t>
            </w:r>
            <w:r w:rsidRPr="002460E2">
              <w:rPr>
                <w:rFonts w:ascii="Times New Roman" w:hAnsi="Times New Roman" w:cs="Times New Roman"/>
                <w:i/>
                <w:iCs/>
                <w:sz w:val="18"/>
                <w:szCs w:val="18"/>
                <w:lang w:val="ro-MD"/>
              </w:rPr>
              <w:t>a 2-a</w:t>
            </w:r>
          </w:p>
          <w:p w14:paraId="37FDAF7D" w14:textId="77777777" w:rsidR="008D7F28" w:rsidRPr="002460E2" w:rsidRDefault="008D7F28" w:rsidP="008D7F28">
            <w:pPr>
              <w:pStyle w:val="NoSpacing"/>
              <w:tabs>
                <w:tab w:val="left" w:pos="328"/>
              </w:tabs>
              <w:jc w:val="both"/>
              <w:rPr>
                <w:rFonts w:ascii="Times New Roman" w:hAnsi="Times New Roman" w:cs="Times New Roman"/>
                <w:b/>
                <w:bCs/>
                <w:sz w:val="18"/>
                <w:szCs w:val="18"/>
                <w:lang w:val="ro-MD"/>
              </w:rPr>
            </w:pPr>
            <w:r w:rsidRPr="002460E2">
              <w:rPr>
                <w:rFonts w:ascii="Times New Roman" w:hAnsi="Times New Roman" w:cs="Times New Roman"/>
                <w:b/>
                <w:bCs/>
                <w:sz w:val="18"/>
                <w:szCs w:val="18"/>
                <w:lang w:val="ro-MD"/>
              </w:rPr>
              <w:t>Modelul de CVA reglementară</w:t>
            </w:r>
          </w:p>
          <w:p w14:paraId="1A421C7D" w14:textId="77777777" w:rsidR="008D7F28" w:rsidRPr="002460E2" w:rsidRDefault="008D7F28" w:rsidP="008D7F28">
            <w:pPr>
              <w:pStyle w:val="NoSpacing"/>
              <w:tabs>
                <w:tab w:val="left" w:pos="328"/>
              </w:tabs>
              <w:jc w:val="both"/>
              <w:rPr>
                <w:rFonts w:ascii="Times New Roman" w:hAnsi="Times New Roman" w:cs="Times New Roman"/>
                <w:sz w:val="18"/>
                <w:szCs w:val="18"/>
                <w:lang w:val="ro-MD"/>
              </w:rPr>
            </w:pPr>
          </w:p>
          <w:p w14:paraId="5697B109" w14:textId="77777777" w:rsidR="003E007B" w:rsidRPr="003E007B" w:rsidRDefault="003E007B" w:rsidP="003E007B">
            <w:pPr>
              <w:pStyle w:val="ListParagraph"/>
              <w:tabs>
                <w:tab w:val="left" w:pos="851"/>
              </w:tabs>
              <w:ind w:left="43"/>
              <w:rPr>
                <w:sz w:val="18"/>
                <w:szCs w:val="18"/>
                <w:lang w:val="ro-MD"/>
              </w:rPr>
            </w:pPr>
            <w:r w:rsidRPr="003E007B">
              <w:rPr>
                <w:sz w:val="18"/>
                <w:szCs w:val="18"/>
                <w:lang w:val="ro-MD"/>
              </w:rPr>
              <w:t>21. Un model de CVA reglementară utilizat pentru calcularea cerințelor de fonduri proprii pentru riscul CVA în conformitate cu punctele 13-16 este solid din punct de vedere conceptual și se pune în aplicare cu integritate și respectă toate cerințele următoare:</w:t>
            </w:r>
          </w:p>
          <w:p w14:paraId="146F8EA6" w14:textId="77777777" w:rsidR="003E007B" w:rsidRPr="003E007B" w:rsidRDefault="003E007B" w:rsidP="003E007B">
            <w:pPr>
              <w:pStyle w:val="ListParagraph"/>
              <w:tabs>
                <w:tab w:val="left" w:pos="851"/>
              </w:tabs>
              <w:ind w:left="43"/>
              <w:rPr>
                <w:sz w:val="18"/>
                <w:szCs w:val="18"/>
                <w:lang w:val="ro-MD"/>
              </w:rPr>
            </w:pPr>
            <w:r w:rsidRPr="003E007B">
              <w:rPr>
                <w:sz w:val="18"/>
                <w:szCs w:val="18"/>
                <w:lang w:val="ro-MD"/>
              </w:rPr>
              <w:t>21.1. modelul de CVA reglementară este capabil să modeleze CVA aferentă unei anumite contrapărți, recunoscând acordurile de compensare și contractele în marjă la nivel de set de compensare, dacă este cazul, în conformitate cu prezenta secțiune;</w:t>
            </w:r>
          </w:p>
          <w:p w14:paraId="16C02AC2" w14:textId="77777777" w:rsidR="003E007B" w:rsidRPr="003E007B" w:rsidRDefault="003E007B" w:rsidP="003E007B">
            <w:pPr>
              <w:pStyle w:val="ListParagraph"/>
              <w:tabs>
                <w:tab w:val="left" w:pos="851"/>
              </w:tabs>
              <w:ind w:left="43"/>
              <w:rPr>
                <w:sz w:val="18"/>
                <w:szCs w:val="18"/>
                <w:lang w:val="ro-MD"/>
              </w:rPr>
            </w:pPr>
            <w:r w:rsidRPr="003E007B">
              <w:rPr>
                <w:sz w:val="18"/>
                <w:szCs w:val="18"/>
                <w:lang w:val="ro-MD"/>
              </w:rPr>
              <w:t xml:space="preserve">21.2. banca estimează probabilitățile de nerambursare ale contrapărții pe baza marjelor de credit ale contrapărții și a pierderii în caz de </w:t>
            </w:r>
            <w:r w:rsidRPr="003E007B">
              <w:rPr>
                <w:sz w:val="18"/>
                <w:szCs w:val="18"/>
                <w:lang w:val="ro-MD"/>
              </w:rPr>
              <w:lastRenderedPageBreak/>
              <w:t>nerambursare conform consensului preconizat al pieței pentru contrapartea respectivă;</w:t>
            </w:r>
          </w:p>
          <w:p w14:paraId="65350DA5" w14:textId="77777777" w:rsidR="003E007B" w:rsidRPr="003E007B" w:rsidRDefault="003E007B" w:rsidP="003E007B">
            <w:pPr>
              <w:pStyle w:val="ListParagraph"/>
              <w:ind w:left="43"/>
              <w:rPr>
                <w:sz w:val="18"/>
                <w:szCs w:val="18"/>
                <w:lang w:val="ro-MD"/>
              </w:rPr>
            </w:pPr>
            <w:r w:rsidRPr="003E007B">
              <w:rPr>
                <w:sz w:val="18"/>
                <w:szCs w:val="18"/>
                <w:lang w:val="ro-MD"/>
              </w:rPr>
              <w:t>21.3. pierderea așteptată în caz de nerambursare menționată la subpunctul 21.1. este aceeași cu pierderea în caz de nerambursare conform consensului preconizat al pieței menționată la subpunctul 21.2., cu excepția cazului în care banca poate demonstra faptul că rangul portofoliului de tranzacții cu contrapartea respectivă diferă de rangul obligațiunilor negarantate cu rang superior emise de contrapartea respectivă;</w:t>
            </w:r>
          </w:p>
          <w:p w14:paraId="3F59637C" w14:textId="77777777" w:rsidR="003E007B" w:rsidRPr="003E007B" w:rsidRDefault="003E007B" w:rsidP="003E007B">
            <w:pPr>
              <w:pStyle w:val="ListParagraph"/>
              <w:tabs>
                <w:tab w:val="left" w:pos="851"/>
              </w:tabs>
              <w:ind w:left="43"/>
              <w:rPr>
                <w:sz w:val="18"/>
                <w:szCs w:val="18"/>
                <w:lang w:val="ro-MD"/>
              </w:rPr>
            </w:pPr>
            <w:r w:rsidRPr="003E007B">
              <w:rPr>
                <w:sz w:val="18"/>
                <w:szCs w:val="18"/>
                <w:lang w:val="ro-MD"/>
              </w:rPr>
              <w:t>21.4. la fiecare moment ulterior, expunerea viitoare actualizată simulată a portofoliului de tranzacții cu o contraparte se calculează cu ajutorul unui model de calcul al expunerii prin reevaluarea tuturor tranzacțiilor din portofoliul respectiv, pe baza modificărilor comune simulate ale factorilor de risc de piață care sunt semnificativi pentru acele tranzacții, utilizând un număr adecvat de scenarii și actualizând prețurile până la data efectuării calculului pe baza ratelor dobânzii fără risc;</w:t>
            </w:r>
          </w:p>
          <w:p w14:paraId="634A5F24" w14:textId="77777777" w:rsidR="003E007B" w:rsidRPr="003E007B" w:rsidRDefault="003E007B" w:rsidP="003E007B">
            <w:pPr>
              <w:pStyle w:val="ListParagraph"/>
              <w:tabs>
                <w:tab w:val="left" w:pos="851"/>
              </w:tabs>
              <w:ind w:left="43"/>
              <w:rPr>
                <w:sz w:val="18"/>
                <w:szCs w:val="18"/>
                <w:lang w:val="ro-MD"/>
              </w:rPr>
            </w:pPr>
            <w:r w:rsidRPr="003E007B">
              <w:rPr>
                <w:sz w:val="18"/>
                <w:szCs w:val="18"/>
                <w:lang w:val="ro-MD"/>
              </w:rPr>
              <w:t>21.5. modelul de CVA reglementară este capabil să modeleze dependența semnificativă dintre expunerea viitoare actualizată simulată a portofoliului de tranzacții și marjele de credit ale contrapărții;</w:t>
            </w:r>
          </w:p>
          <w:p w14:paraId="3730D2C7" w14:textId="77777777" w:rsidR="003E007B" w:rsidRPr="003E007B" w:rsidRDefault="003E007B" w:rsidP="003E007B">
            <w:pPr>
              <w:pStyle w:val="ListParagraph"/>
              <w:ind w:left="43"/>
              <w:rPr>
                <w:sz w:val="18"/>
                <w:szCs w:val="18"/>
                <w:lang w:val="ro-MD"/>
              </w:rPr>
            </w:pPr>
            <w:r w:rsidRPr="003E007B">
              <w:rPr>
                <w:sz w:val="18"/>
                <w:szCs w:val="18"/>
                <w:lang w:val="ro-MD"/>
              </w:rPr>
              <w:t xml:space="preserve">21.6. în cazul în care tranzacțiile din portofoliu sunt incluse într-un set de compensare care face obiectul unui contract în marjă și al evaluării zilnice la prețul pieței, garanțiile reale furnizate și primite ca parte a contractului respectiv sunt recunoscute ca fiind un factor de diminuare a riscului în expunerea viitoare </w:t>
            </w:r>
            <w:r w:rsidRPr="003E007B">
              <w:rPr>
                <w:sz w:val="18"/>
                <w:szCs w:val="18"/>
                <w:lang w:val="ro-MD"/>
              </w:rPr>
              <w:lastRenderedPageBreak/>
              <w:t xml:space="preserve">actualizată simulată, dacă sunt îndeplinite următoarele condiții: </w:t>
            </w:r>
          </w:p>
          <w:p w14:paraId="6712E8F1" w14:textId="77777777" w:rsidR="003E007B" w:rsidRPr="003E007B" w:rsidRDefault="003E007B" w:rsidP="003E007B">
            <w:pPr>
              <w:pStyle w:val="ListParagraph"/>
              <w:ind w:left="43"/>
              <w:rPr>
                <w:sz w:val="18"/>
                <w:szCs w:val="18"/>
                <w:lang w:val="ro-MD"/>
              </w:rPr>
            </w:pPr>
            <w:r w:rsidRPr="003E007B">
              <w:rPr>
                <w:sz w:val="18"/>
                <w:szCs w:val="18"/>
                <w:lang w:val="ro-MD"/>
              </w:rPr>
              <w:t xml:space="preserve">21.6.1. banca determină perioada de risc de marjă pentru setul de compensare respectiv în conformitate cu cerințele prevăzute la </w:t>
            </w:r>
            <w:bookmarkStart w:id="3" w:name="_Hlk210664900"/>
            <w:r w:rsidRPr="003E007B">
              <w:rPr>
                <w:sz w:val="18"/>
                <w:szCs w:val="18"/>
                <w:lang w:val="ro-MD"/>
              </w:rPr>
              <w:t xml:space="preserve">aplicarea metodei modelului intern la riscul de credit al contrapății </w:t>
            </w:r>
            <w:bookmarkEnd w:id="3"/>
            <w:r w:rsidRPr="003E007B">
              <w:rPr>
                <w:sz w:val="18"/>
                <w:szCs w:val="18"/>
                <w:lang w:val="ro-MD"/>
              </w:rPr>
              <w:t>și reflectă perioada de marjă respectivă în calculul expunerii viitoare actualizate simulate;</w:t>
            </w:r>
          </w:p>
          <w:p w14:paraId="5B7F5EC9" w14:textId="77777777" w:rsidR="003E007B" w:rsidRPr="003E007B" w:rsidRDefault="003E007B" w:rsidP="003E007B">
            <w:pPr>
              <w:pStyle w:val="ListParagraph"/>
              <w:ind w:left="43"/>
              <w:rPr>
                <w:sz w:val="18"/>
                <w:szCs w:val="18"/>
                <w:lang w:val="ro-MD"/>
              </w:rPr>
            </w:pPr>
            <w:r w:rsidRPr="003E007B">
              <w:rPr>
                <w:sz w:val="18"/>
                <w:szCs w:val="18"/>
                <w:lang w:val="ro-MD"/>
              </w:rPr>
              <w:t>21.6.2. toate caracteristicile aplicabile ale contractului în marjă, inclusiv frecvența apelurilor în marjă, tipul de garanție reală eligibilă contractual, cuantumurile-prag, sumele minime ale transferurilor, sumele independente și marjele inițiale atât pentru bancă, cât și pentru contraparte sunt reflectate în mod corespunzător în calculul expunerii viitoare actualizate simulate.</w:t>
            </w:r>
          </w:p>
          <w:p w14:paraId="40641AD0" w14:textId="77777777" w:rsidR="003E007B" w:rsidRPr="003E007B" w:rsidRDefault="003E007B" w:rsidP="003E007B">
            <w:pPr>
              <w:pStyle w:val="ListParagraph"/>
              <w:ind w:left="0"/>
              <w:rPr>
                <w:sz w:val="18"/>
                <w:szCs w:val="18"/>
                <w:lang w:val="ro-MD"/>
              </w:rPr>
            </w:pPr>
            <w:r w:rsidRPr="003E007B">
              <w:rPr>
                <w:sz w:val="18"/>
                <w:szCs w:val="18"/>
                <w:lang w:val="ro-MD"/>
              </w:rPr>
              <w:t>21.6.3. banca a înființat o unitate de administrare a garanțiilor reale care se conformează aplicării metodei modelului intern la riscul de credit al contrapății pentru toate garanțiile reale recunoscute în scopul calculării cerințelor de fonduri proprii pentru riscul CVA utilizând abordarea standardizată.</w:t>
            </w:r>
          </w:p>
          <w:p w14:paraId="5B657693" w14:textId="77777777" w:rsidR="003E007B" w:rsidRPr="003E007B" w:rsidRDefault="003E007B" w:rsidP="003E007B">
            <w:pPr>
              <w:pStyle w:val="ListParagraph"/>
              <w:tabs>
                <w:tab w:val="left" w:pos="851"/>
              </w:tabs>
              <w:ind w:left="0"/>
              <w:rPr>
                <w:sz w:val="18"/>
                <w:szCs w:val="18"/>
                <w:lang w:val="ro-MD"/>
              </w:rPr>
            </w:pPr>
            <w:r w:rsidRPr="003E007B">
              <w:rPr>
                <w:sz w:val="18"/>
                <w:szCs w:val="18"/>
                <w:lang w:val="ro-MD"/>
              </w:rPr>
              <w:t xml:space="preserve">22. În sensul </w:t>
            </w:r>
            <w:bookmarkStart w:id="4" w:name="_Hlk197074179"/>
            <w:r w:rsidRPr="003E007B">
              <w:rPr>
                <w:sz w:val="18"/>
                <w:szCs w:val="18"/>
                <w:lang w:val="ro-MD"/>
              </w:rPr>
              <w:t xml:space="preserve">subpunctului 21.1., </w:t>
            </w:r>
            <w:bookmarkEnd w:id="4"/>
            <w:r w:rsidRPr="003E007B">
              <w:rPr>
                <w:sz w:val="18"/>
                <w:szCs w:val="18"/>
                <w:lang w:val="ro-MD"/>
              </w:rPr>
              <w:t>CVA are semn pozitiv și se calculează în funcție de pierderile așteptate în caz de nerambursare ale contrapărții, de un set adecvat de probabilități de nerambursare ale contrapărții la momente viitoare și de un set adecvat de expuneri viitoare actualizate simulate ale portofoliului de tranzacții cu contrapartea respectivă în momente viitoare până la scadența tranzacției cu cea mai lungă durată din portofoliul respectiv.</w:t>
            </w:r>
          </w:p>
          <w:p w14:paraId="5E82DD83" w14:textId="77777777" w:rsidR="003E007B" w:rsidRPr="003E007B" w:rsidRDefault="003E007B" w:rsidP="003E007B">
            <w:pPr>
              <w:pStyle w:val="ListParagraph"/>
              <w:tabs>
                <w:tab w:val="left" w:pos="851"/>
              </w:tabs>
              <w:ind w:left="0"/>
              <w:rPr>
                <w:sz w:val="18"/>
                <w:szCs w:val="18"/>
                <w:lang w:val="ro-MD"/>
              </w:rPr>
            </w:pPr>
            <w:r w:rsidRPr="003E007B">
              <w:rPr>
                <w:sz w:val="18"/>
                <w:szCs w:val="18"/>
                <w:lang w:val="ro-MD"/>
              </w:rPr>
              <w:lastRenderedPageBreak/>
              <w:t>23. În scopul demonstrării menționate la subpunctul 21.3., garanțiile reale primite de la contraparte nu modifică rangul expunerii.</w:t>
            </w:r>
          </w:p>
          <w:p w14:paraId="5D78CAF2" w14:textId="77777777" w:rsidR="003E007B" w:rsidRPr="003E007B" w:rsidRDefault="003E007B" w:rsidP="003E007B">
            <w:pPr>
              <w:pStyle w:val="ListParagraph"/>
              <w:tabs>
                <w:tab w:val="left" w:pos="851"/>
              </w:tabs>
              <w:ind w:left="0"/>
              <w:rPr>
                <w:sz w:val="18"/>
                <w:szCs w:val="18"/>
                <w:lang w:val="ro-MD"/>
              </w:rPr>
            </w:pPr>
            <w:r w:rsidRPr="003E007B">
              <w:rPr>
                <w:sz w:val="18"/>
                <w:szCs w:val="18"/>
                <w:lang w:val="ro-MD"/>
              </w:rPr>
              <w:t>24. În sensul subpunctului 21.6.3., în cazul în care a înființat deja o unitate de administrare a garanțiilor reale pentru a utiliza metoda modelului intern aplicată la riscul de credit al contrapărții, banca nu este obligată să înființeze o subdiviziune suplimentară de administrare a garanțiilor reale dacă banca respectivă demonstrează autorității sale competente că subdiviziunea respectivă respectă cerințele prevăzute la aplicarea metodei modelului intern la riscul de credit al contrapărții pentru garanțiile reale recunoscute în scopul calculării cerințelor de fonduri proprii pentru riscul CVA utilizând abordarea standardizată.</w:t>
            </w:r>
          </w:p>
          <w:p w14:paraId="521170ED" w14:textId="5308481A" w:rsidR="008D7F28" w:rsidRPr="002460E2" w:rsidRDefault="008D7F28" w:rsidP="003E007B">
            <w:pPr>
              <w:pStyle w:val="ListParagraph"/>
              <w:tabs>
                <w:tab w:val="left" w:pos="851"/>
                <w:tab w:val="left" w:pos="993"/>
              </w:tabs>
              <w:ind w:left="0"/>
              <w:jc w:val="both"/>
              <w:rPr>
                <w:sz w:val="18"/>
                <w:szCs w:val="18"/>
                <w:lang w:val="ro-MD"/>
              </w:rPr>
            </w:pPr>
          </w:p>
        </w:tc>
        <w:tc>
          <w:tcPr>
            <w:tcW w:w="1229" w:type="dxa"/>
          </w:tcPr>
          <w:p w14:paraId="022602B4" w14:textId="698C771F" w:rsidR="008D7F28" w:rsidRPr="002460E2" w:rsidRDefault="008D7F28" w:rsidP="008D7F28">
            <w:pPr>
              <w:jc w:val="both"/>
              <w:rPr>
                <w:sz w:val="18"/>
                <w:szCs w:val="18"/>
                <w:lang w:val="ro-MD"/>
              </w:rPr>
            </w:pPr>
            <w:r w:rsidRPr="002460E2">
              <w:rPr>
                <w:sz w:val="18"/>
                <w:szCs w:val="18"/>
                <w:lang w:val="ro-MD"/>
              </w:rPr>
              <w:lastRenderedPageBreak/>
              <w:t>compatibil</w:t>
            </w:r>
          </w:p>
        </w:tc>
        <w:tc>
          <w:tcPr>
            <w:tcW w:w="5292" w:type="dxa"/>
            <w:tcBorders>
              <w:top w:val="single" w:sz="4" w:space="0" w:color="auto"/>
              <w:bottom w:val="single" w:sz="4" w:space="0" w:color="auto"/>
            </w:tcBorders>
          </w:tcPr>
          <w:p w14:paraId="16CDA2B8" w14:textId="68ADAB2B" w:rsidR="008D7F28" w:rsidRPr="002460E2" w:rsidRDefault="008D7F28" w:rsidP="008D7F28">
            <w:pPr>
              <w:jc w:val="both"/>
              <w:rPr>
                <w:sz w:val="18"/>
                <w:szCs w:val="18"/>
                <w:lang w:val="ro-MD"/>
              </w:rPr>
            </w:pPr>
          </w:p>
        </w:tc>
      </w:tr>
      <w:tr w:rsidR="008D7F28" w:rsidRPr="002460E2" w14:paraId="099B8FC2" w14:textId="77777777" w:rsidTr="003F5B3C">
        <w:trPr>
          <w:trHeight w:val="918"/>
        </w:trPr>
        <w:tc>
          <w:tcPr>
            <w:tcW w:w="4253" w:type="dxa"/>
          </w:tcPr>
          <w:p w14:paraId="625D962D" w14:textId="77777777" w:rsidR="008D7F28" w:rsidRPr="002460E2" w:rsidRDefault="008D7F28" w:rsidP="008D7F28">
            <w:pPr>
              <w:rPr>
                <w:sz w:val="18"/>
                <w:szCs w:val="18"/>
                <w:lang w:val="en-US"/>
              </w:rPr>
            </w:pPr>
            <w:r w:rsidRPr="002460E2">
              <w:rPr>
                <w:sz w:val="18"/>
                <w:szCs w:val="18"/>
                <w:lang w:val="en-US"/>
              </w:rPr>
              <w:lastRenderedPageBreak/>
              <w:t>(2) În sensul alineatului (1) litera (b), în cazul în care marjele instrumentelor de tipul </w:t>
            </w:r>
            <w:r w:rsidRPr="002460E2">
              <w:rPr>
                <w:i/>
                <w:iCs/>
                <w:sz w:val="18"/>
                <w:szCs w:val="18"/>
                <w:lang w:val="en-US"/>
              </w:rPr>
              <w:t>credit default swap</w:t>
            </w:r>
            <w:r w:rsidRPr="002460E2">
              <w:rPr>
                <w:sz w:val="18"/>
                <w:szCs w:val="18"/>
                <w:lang w:val="en-US"/>
              </w:rPr>
              <w:t> ale contrapărții sunt observabile pe piață, o instituție utilizează aceste marje. În cazul în care nu sunt disponibile astfel de marje ale instrumentelor de tipul </w:t>
            </w:r>
            <w:r w:rsidRPr="002460E2">
              <w:rPr>
                <w:i/>
                <w:iCs/>
                <w:sz w:val="18"/>
                <w:szCs w:val="18"/>
                <w:lang w:val="en-US"/>
              </w:rPr>
              <w:t>credit default swap</w:t>
            </w:r>
            <w:r w:rsidRPr="002460E2">
              <w:rPr>
                <w:sz w:val="18"/>
                <w:szCs w:val="18"/>
                <w:lang w:val="en-US"/>
              </w:rPr>
              <w:t>, instituțiile utilizează una dintre următoarele:</w:t>
            </w:r>
          </w:p>
          <w:p w14:paraId="3B57160A" w14:textId="77777777" w:rsidR="008D7F28" w:rsidRPr="002460E2" w:rsidRDefault="008D7F28" w:rsidP="008D7F28">
            <w:pPr>
              <w:rPr>
                <w:sz w:val="18"/>
                <w:szCs w:val="18"/>
                <w:lang w:val="en-US"/>
              </w:rPr>
            </w:pPr>
            <w:r w:rsidRPr="002460E2">
              <w:rPr>
                <w:sz w:val="18"/>
                <w:szCs w:val="18"/>
                <w:lang w:val="en-US"/>
              </w:rPr>
              <w:t>(a) marjele de credit aferente altor instrumente emise de contraparte care reflectă condițiile actuale de piață;</w:t>
            </w:r>
          </w:p>
          <w:p w14:paraId="16F5415F" w14:textId="77777777" w:rsidR="008D7F28" w:rsidRPr="002460E2" w:rsidRDefault="008D7F28" w:rsidP="008D7F28">
            <w:pPr>
              <w:rPr>
                <w:sz w:val="18"/>
                <w:szCs w:val="18"/>
                <w:lang w:val="en-US"/>
              </w:rPr>
            </w:pPr>
            <w:r w:rsidRPr="002460E2">
              <w:rPr>
                <w:sz w:val="18"/>
                <w:szCs w:val="18"/>
                <w:lang w:val="en-US"/>
              </w:rPr>
              <w:t>(b) marjele aproximative care sunt adecvate având în vedere ratingul, sectorul de activitate și regiunea contrapărții.</w:t>
            </w:r>
          </w:p>
          <w:p w14:paraId="58F49BBA" w14:textId="77777777" w:rsidR="008D7F28" w:rsidRPr="002460E2" w:rsidRDefault="008D7F28" w:rsidP="008D7F28">
            <w:pPr>
              <w:rPr>
                <w:i/>
                <w:iCs/>
                <w:sz w:val="18"/>
                <w:szCs w:val="18"/>
                <w:lang w:val="en-US"/>
              </w:rPr>
            </w:pPr>
          </w:p>
        </w:tc>
        <w:tc>
          <w:tcPr>
            <w:tcW w:w="3685" w:type="dxa"/>
            <w:shd w:val="clear" w:color="auto" w:fill="auto"/>
          </w:tcPr>
          <w:p w14:paraId="5790139F" w14:textId="00F95B78" w:rsidR="003E007B" w:rsidRPr="003E007B" w:rsidRDefault="003E007B" w:rsidP="003E007B">
            <w:pPr>
              <w:tabs>
                <w:tab w:val="left" w:pos="993"/>
              </w:tabs>
              <w:contextualSpacing/>
              <w:jc w:val="both"/>
              <w:rPr>
                <w:sz w:val="18"/>
                <w:szCs w:val="18"/>
                <w:lang w:val="ro-MD" w:eastAsia="en-US"/>
              </w:rPr>
            </w:pPr>
            <w:r w:rsidRPr="002460E2">
              <w:rPr>
                <w:sz w:val="18"/>
                <w:szCs w:val="18"/>
                <w:lang w:val="ro-MD" w:eastAsia="en-US"/>
              </w:rPr>
              <w:t xml:space="preserve">25. </w:t>
            </w:r>
            <w:r w:rsidRPr="003E007B">
              <w:rPr>
                <w:sz w:val="18"/>
                <w:szCs w:val="18"/>
                <w:lang w:val="ro-MD" w:eastAsia="en-US"/>
              </w:rPr>
              <w:t>În sensul subpunctului 21.2., în cazul în care marjele instrumentelor de tipul </w:t>
            </w:r>
            <w:r w:rsidRPr="003E007B">
              <w:rPr>
                <w:i/>
                <w:iCs/>
                <w:sz w:val="18"/>
                <w:szCs w:val="18"/>
                <w:lang w:val="ro-MD" w:eastAsia="en-US"/>
              </w:rPr>
              <w:t>credit default swap</w:t>
            </w:r>
            <w:r w:rsidRPr="003E007B">
              <w:rPr>
                <w:sz w:val="18"/>
                <w:szCs w:val="18"/>
                <w:lang w:val="ro-MD" w:eastAsia="en-US"/>
              </w:rPr>
              <w:t> ale contrapărții sunt observabile pe piață, banca utilizează aceste marje. În cazul în care nu sunt disponibile astfel de marje ale instrumentelor de tipul </w:t>
            </w:r>
            <w:r w:rsidRPr="003E007B">
              <w:rPr>
                <w:i/>
                <w:iCs/>
                <w:sz w:val="18"/>
                <w:szCs w:val="18"/>
                <w:lang w:val="ro-MD" w:eastAsia="en-US"/>
              </w:rPr>
              <w:t>credit default swap</w:t>
            </w:r>
            <w:r w:rsidRPr="003E007B">
              <w:rPr>
                <w:sz w:val="18"/>
                <w:szCs w:val="18"/>
                <w:lang w:val="ro-MD" w:eastAsia="en-US"/>
              </w:rPr>
              <w:t>, băncile utilizează una dintre următoarele:</w:t>
            </w:r>
          </w:p>
          <w:p w14:paraId="4D4D9174" w14:textId="77777777" w:rsidR="003E007B" w:rsidRPr="003E007B" w:rsidRDefault="003E007B" w:rsidP="003E007B">
            <w:pPr>
              <w:tabs>
                <w:tab w:val="left" w:pos="993"/>
              </w:tabs>
              <w:contextualSpacing/>
              <w:jc w:val="both"/>
              <w:rPr>
                <w:sz w:val="18"/>
                <w:szCs w:val="18"/>
                <w:lang w:val="ro-MD" w:eastAsia="en-US"/>
              </w:rPr>
            </w:pPr>
            <w:r w:rsidRPr="003E007B">
              <w:rPr>
                <w:sz w:val="18"/>
                <w:szCs w:val="18"/>
                <w:lang w:val="ro-MD" w:eastAsia="en-US"/>
              </w:rPr>
              <w:t>25.1. marjele de credit aferente altor instrumente emise de contraparte care reflectă condițiile actuale de piață;</w:t>
            </w:r>
          </w:p>
          <w:p w14:paraId="33D1EF0D" w14:textId="77777777" w:rsidR="003E007B" w:rsidRPr="003E007B" w:rsidRDefault="003E007B" w:rsidP="003E007B">
            <w:pPr>
              <w:tabs>
                <w:tab w:val="left" w:pos="993"/>
              </w:tabs>
              <w:contextualSpacing/>
              <w:jc w:val="both"/>
              <w:rPr>
                <w:sz w:val="18"/>
                <w:szCs w:val="18"/>
                <w:lang w:val="ro-MD" w:eastAsia="en-US"/>
              </w:rPr>
            </w:pPr>
            <w:r w:rsidRPr="003E007B">
              <w:rPr>
                <w:sz w:val="18"/>
                <w:szCs w:val="18"/>
                <w:lang w:val="ro-MD" w:eastAsia="en-US"/>
              </w:rPr>
              <w:t>25.2. marjele aproximative care sunt adecvate având în vedere ratingul, sectorul de activitate și regiunea contrapărții.</w:t>
            </w:r>
          </w:p>
          <w:p w14:paraId="3B0720D6" w14:textId="586262AD" w:rsidR="008D7F28" w:rsidRPr="002460E2" w:rsidRDefault="008D7F28" w:rsidP="008D7F28">
            <w:pPr>
              <w:tabs>
                <w:tab w:val="left" w:pos="993"/>
              </w:tabs>
              <w:contextualSpacing/>
              <w:jc w:val="both"/>
              <w:rPr>
                <w:sz w:val="18"/>
                <w:szCs w:val="18"/>
                <w:lang w:val="ro-MD" w:eastAsia="en-US"/>
              </w:rPr>
            </w:pPr>
          </w:p>
        </w:tc>
        <w:tc>
          <w:tcPr>
            <w:tcW w:w="1229" w:type="dxa"/>
          </w:tcPr>
          <w:p w14:paraId="1B838BA9" w14:textId="6BA90B4B"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209184AC" w14:textId="77777777" w:rsidR="008D7F28" w:rsidRPr="002460E2" w:rsidRDefault="008D7F28" w:rsidP="008D7F28">
            <w:pPr>
              <w:jc w:val="both"/>
              <w:rPr>
                <w:sz w:val="18"/>
                <w:szCs w:val="18"/>
                <w:lang w:val="ro-MD"/>
              </w:rPr>
            </w:pPr>
          </w:p>
        </w:tc>
      </w:tr>
      <w:tr w:rsidR="008D7F28" w:rsidRPr="002460E2" w14:paraId="52165800" w14:textId="77777777" w:rsidTr="003F5B3C">
        <w:trPr>
          <w:trHeight w:val="918"/>
        </w:trPr>
        <w:tc>
          <w:tcPr>
            <w:tcW w:w="4253" w:type="dxa"/>
          </w:tcPr>
          <w:p w14:paraId="48EAC21D" w14:textId="6D190D25" w:rsidR="008D7F28" w:rsidRPr="002460E2" w:rsidRDefault="008D7F28" w:rsidP="008D7F28">
            <w:pPr>
              <w:rPr>
                <w:sz w:val="18"/>
                <w:szCs w:val="18"/>
                <w:lang w:val="en-US"/>
              </w:rPr>
            </w:pPr>
            <w:r w:rsidRPr="002460E2">
              <w:rPr>
                <w:sz w:val="18"/>
                <w:szCs w:val="18"/>
                <w:lang w:val="en-US"/>
              </w:rPr>
              <w:lastRenderedPageBreak/>
              <w:t>(3) O instituție care utilizează un model de CVA reglementară respectă toate cerințele calitative următoare:</w:t>
            </w:r>
          </w:p>
          <w:p w14:paraId="4B7865E3" w14:textId="49CE7592" w:rsidR="008D7F28" w:rsidRPr="002460E2" w:rsidRDefault="008D7F28" w:rsidP="008D7F28">
            <w:pPr>
              <w:rPr>
                <w:sz w:val="18"/>
                <w:szCs w:val="18"/>
                <w:lang w:val="en-US"/>
              </w:rPr>
            </w:pPr>
            <w:r w:rsidRPr="002460E2">
              <w:rPr>
                <w:sz w:val="18"/>
                <w:szCs w:val="18"/>
                <w:lang w:val="en-US"/>
              </w:rPr>
              <w:t>(a) modelul de calcul al expunerii menționat la alineatul (1) face parte din sistemul intern de gestionare a riscului CVA al instituției care include identificarea, măsurarea, gestionarea, aprobarea și raportarea internă a CVA și a riscului CVA în scopuri contabile;</w:t>
            </w:r>
          </w:p>
          <w:p w14:paraId="6D87C7E3" w14:textId="10814CE4" w:rsidR="008D7F28" w:rsidRPr="002460E2" w:rsidRDefault="008D7F28" w:rsidP="008D7F28">
            <w:pPr>
              <w:rPr>
                <w:sz w:val="18"/>
                <w:szCs w:val="18"/>
                <w:lang w:val="en-US"/>
              </w:rPr>
            </w:pPr>
            <w:r w:rsidRPr="002460E2">
              <w:rPr>
                <w:sz w:val="18"/>
                <w:szCs w:val="18"/>
                <w:lang w:val="en-US"/>
              </w:rPr>
              <w:t>(b) instituția dispune de un proces pentru a asigura conformitatea cu un set documentat de politici interne, controale, evaluări ale performanței modelului și proceduri privind modelul de calcul al expunerii menționat la alineatul (1);</w:t>
            </w:r>
          </w:p>
          <w:p w14:paraId="2A763A99" w14:textId="4B6F7B0E" w:rsidR="008D7F28" w:rsidRPr="002460E2" w:rsidRDefault="008D7F28" w:rsidP="008D7F28">
            <w:pPr>
              <w:rPr>
                <w:sz w:val="18"/>
                <w:szCs w:val="18"/>
                <w:lang w:val="en-US"/>
              </w:rPr>
            </w:pPr>
            <w:r w:rsidRPr="002460E2">
              <w:rPr>
                <w:sz w:val="18"/>
                <w:szCs w:val="18"/>
                <w:lang w:val="en-US"/>
              </w:rPr>
              <w:t>(c) instituția dispune de o unitate de validare independentă care este responsabilă cu validarea efectivă inițială și continuă a modelului de calcul al expunerii menționat la alineatul (1) de la prezentul articol; această unitate este independentă de unitățile care se ocupă de creditele comerciale și de unitățile de tranzacționare, inclusiv de unitatea menționată la articolul 383 alineatul (1) litera (a), și raportează direct conducerii superioare; unitatea dispune de personal suficient cu un nivel de competențe adecvat pentru îndeplinirea scopului respectiv;</w:t>
            </w:r>
          </w:p>
          <w:p w14:paraId="27CB29C5" w14:textId="7E2CB126" w:rsidR="008D7F28" w:rsidRPr="002460E2" w:rsidRDefault="008D7F28" w:rsidP="008D7F28">
            <w:pPr>
              <w:rPr>
                <w:sz w:val="18"/>
                <w:szCs w:val="18"/>
                <w:lang w:val="en-US"/>
              </w:rPr>
            </w:pPr>
            <w:r w:rsidRPr="002460E2">
              <w:rPr>
                <w:sz w:val="18"/>
                <w:szCs w:val="18"/>
                <w:lang w:val="en-US"/>
              </w:rPr>
              <w:t>(d) conducerea superioară participă activ la procesul de control al riscului și consideră controlul riscului CVA drept un aspect esențial al activității economice, căruia trebuie să i se aloce resurse adecvate;</w:t>
            </w:r>
          </w:p>
          <w:p w14:paraId="11023967" w14:textId="1394F438" w:rsidR="008D7F28" w:rsidRPr="002460E2" w:rsidRDefault="008D7F28" w:rsidP="008D7F28">
            <w:pPr>
              <w:rPr>
                <w:sz w:val="18"/>
                <w:szCs w:val="18"/>
                <w:lang w:val="en-US"/>
              </w:rPr>
            </w:pPr>
            <w:r w:rsidRPr="002460E2">
              <w:rPr>
                <w:sz w:val="18"/>
                <w:szCs w:val="18"/>
                <w:lang w:val="en-US"/>
              </w:rPr>
              <w:t xml:space="preserve">(e) instituția documentează procesul de validare inițială și continuă a modelului de calcul al expunerii menționat la alineatul (1), la un nivel de detaliere care ar permite unei părți terțe să înțeleagă modul în care funcționează modelele, limitările și ipotezele lor principale și să recreeze analiza; documentația respectivă stabilește frecvența minimă cu care se efectuează validarea continuă, precum și alte circumstanțe, cum ar fi o schimbare bruscă a comportamentului pe piață, în care se efectuează </w:t>
            </w:r>
            <w:r w:rsidRPr="002460E2">
              <w:rPr>
                <w:sz w:val="18"/>
                <w:szCs w:val="18"/>
                <w:lang w:val="en-US"/>
              </w:rPr>
              <w:lastRenderedPageBreak/>
              <w:t>o validare suplimentară; documentația descrie modul în care se efectuează validarea în ceea ce privește fluxurile de date și portofoliile, ce analize sunt utilizate și modul în care sunt constituite portofoliile reprezentative ale contrapărților;</w:t>
            </w:r>
          </w:p>
          <w:p w14:paraId="29D3C082" w14:textId="5469D418" w:rsidR="008D7F28" w:rsidRPr="002460E2" w:rsidRDefault="008D7F28" w:rsidP="008D7F28">
            <w:pPr>
              <w:rPr>
                <w:sz w:val="18"/>
                <w:szCs w:val="18"/>
                <w:lang w:val="en-US"/>
              </w:rPr>
            </w:pPr>
            <w:r w:rsidRPr="002460E2">
              <w:rPr>
                <w:sz w:val="18"/>
                <w:szCs w:val="18"/>
                <w:lang w:val="en-US"/>
              </w:rPr>
              <w:t>(f) modelele de evaluare utilizate în modelul de calcul al expunerii menționat la alineatul (1) pentru un anumit scenariu de factori de risc de piață simulați sunt testate în raport cu valori de referință independente adecvate pentru o gamă largă de stări ale pieței, ca parte a procesului de validare inițială și continuă a modelului; modelele de evaluare a opțiunilor țin seama de neliniaritatea valorii opțiunii în ceea ce privește factorii de risc de piață;</w:t>
            </w:r>
          </w:p>
          <w:p w14:paraId="2C26791A" w14:textId="7AFA8F0E" w:rsidR="008D7F28" w:rsidRPr="002460E2" w:rsidRDefault="008D7F28" w:rsidP="008D7F28">
            <w:pPr>
              <w:rPr>
                <w:sz w:val="18"/>
                <w:szCs w:val="18"/>
                <w:lang w:val="en-US"/>
              </w:rPr>
            </w:pPr>
            <w:r w:rsidRPr="002460E2">
              <w:rPr>
                <w:sz w:val="18"/>
                <w:szCs w:val="18"/>
                <w:lang w:val="en-US"/>
              </w:rPr>
              <w:t>(g) în cadrul procesului de audit intern al instituției se efectuează cu regularitate o reexaminare independentă a sistemului său intern de gestionare a riscului CVA menționat la litera (a) de la prezentul alineat; respectiva reexaminare include activitățile atât ale unității menționate la articolul 383 alineatul (1) litera (a), cât și ale unității independente de validare menționate la litera (c) de la prezentul alineat;</w:t>
            </w:r>
          </w:p>
          <w:p w14:paraId="43E353C5" w14:textId="794F1354" w:rsidR="008D7F28" w:rsidRPr="002460E2" w:rsidRDefault="008D7F28" w:rsidP="008D7F28">
            <w:pPr>
              <w:rPr>
                <w:sz w:val="18"/>
                <w:szCs w:val="18"/>
                <w:lang w:val="en-US"/>
              </w:rPr>
            </w:pPr>
            <w:r w:rsidRPr="002460E2">
              <w:rPr>
                <w:sz w:val="18"/>
                <w:szCs w:val="18"/>
                <w:lang w:val="en-US"/>
              </w:rPr>
              <w:t xml:space="preserve">(h) modelul de CVA reglementară utilizat de instituție pentru calcularea expunerii viitoare actualizate simulate menționate la alineatul (1) reflectă condițiile și specificațiile tranzacțiilor și contractele în marjă într-un mod prompt, complet și prudent; condițiile și specificațiile se păstrează într-o bază de date securizată, care face obiectul unui audit formal și periodic; transmiterea datelor privind condițiile și specificațiile tranzacțiilor și contractele în marjă în vederea integrării în modelul de calcul al expunerii face, de asemenea, obiectul auditului intern, iar între modelul intern și sistemele de date-sursă există procese de reconciliere formală pentru a verifica în permanență dacă </w:t>
            </w:r>
            <w:r w:rsidRPr="002460E2">
              <w:rPr>
                <w:sz w:val="18"/>
                <w:szCs w:val="18"/>
                <w:lang w:val="en-US"/>
              </w:rPr>
              <w:lastRenderedPageBreak/>
              <w:t>specificațiile și condițiile tranzacțiilor și contractele în marjă sunt reflectate corect sau, cel puțin, prudent în sistemul de calcul al expunerii;</w:t>
            </w:r>
          </w:p>
          <w:p w14:paraId="53E7E3BC" w14:textId="69A57879" w:rsidR="008D7F28" w:rsidRPr="002460E2" w:rsidRDefault="008D7F28" w:rsidP="008D7F28">
            <w:pPr>
              <w:rPr>
                <w:sz w:val="18"/>
                <w:szCs w:val="18"/>
                <w:lang w:val="en-US"/>
              </w:rPr>
            </w:pPr>
            <w:r w:rsidRPr="002460E2">
              <w:rPr>
                <w:sz w:val="18"/>
                <w:szCs w:val="18"/>
                <w:lang w:val="en-US"/>
              </w:rPr>
              <w:t>(i) intrările de date de piață curente și istorice utilizate în model de instituție pentru calcularea expunerii viitoare actualizate simulate menționate la alineatul (1) se obțin independent de liniile de activitate și se introduc în modelul respectiv în mod prompt și complet și se păstrează într-o bază de date securizată care face obiectul unui audit formal și periodic; o instituție dispune de un proces bine dezvoltat de verificare a integrității datelor pentru a gestiona observațiile privind date neadecvate; în cazul în care modelul se bazează pe date de substituire a datelor de piață, instituția elaborează politici interne pentru a identifica substituenți adecvați și demonstrează în mod empiric și în permanență că substituenții oferă o reprezentare prudentă a riscului-suport;</w:t>
            </w:r>
          </w:p>
          <w:p w14:paraId="02151E6B" w14:textId="54893D21" w:rsidR="008D7F28" w:rsidRPr="002460E2" w:rsidRDefault="008D7F28" w:rsidP="008D7F28">
            <w:pPr>
              <w:rPr>
                <w:sz w:val="18"/>
                <w:szCs w:val="18"/>
                <w:lang w:val="en-US"/>
              </w:rPr>
            </w:pPr>
            <w:r w:rsidRPr="002460E2">
              <w:rPr>
                <w:sz w:val="18"/>
                <w:szCs w:val="18"/>
                <w:lang w:val="en-US"/>
              </w:rPr>
              <w:t>(j) modelul de calcul al expunerii menționat la alineatul (1) cuprinde informațiile specifice cu privire la tranzacții și informațiile contractuale care sunt necesare pentru a putea agrega expunerile la nivelul setului de compensare; instituția verifică dacă în cadrul modelului tranzacțiile sunt atribuite setului de compensare adecvat.</w:t>
            </w:r>
          </w:p>
          <w:p w14:paraId="31E566B9" w14:textId="2FFB07A3" w:rsidR="008D7F28" w:rsidRPr="002460E2" w:rsidRDefault="008D7F28" w:rsidP="008D7F28">
            <w:pPr>
              <w:rPr>
                <w:sz w:val="18"/>
                <w:szCs w:val="18"/>
                <w:lang w:val="en-US"/>
              </w:rPr>
            </w:pPr>
            <w:r w:rsidRPr="002460E2">
              <w:rPr>
                <w:sz w:val="18"/>
                <w:szCs w:val="18"/>
                <w:lang w:val="en-US"/>
              </w:rPr>
              <w:t>În scopul calculării cerințelor de fonduri proprii pentru riscul CVA, modelul de calcul al expunerii menționat la alineatul (1) de la prezentul articol poate avea specificații și ipoteze diferite pentru a îndeplini toate cerințele prevăzute la articolul 383a, cu excepția faptului că intrările sale de date de piață și recunoașterea compensării sunt aceleași ca cele utilizate în scopuri contabile.</w:t>
            </w:r>
          </w:p>
        </w:tc>
        <w:tc>
          <w:tcPr>
            <w:tcW w:w="3685" w:type="dxa"/>
            <w:shd w:val="clear" w:color="auto" w:fill="auto"/>
          </w:tcPr>
          <w:p w14:paraId="54CB9853"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lastRenderedPageBreak/>
              <w:t>26. Banca care utilizează un model de CVA reglementară respectă toate cerințele calitative după cum urmeaz</w:t>
            </w:r>
            <w:r w:rsidRPr="003E007B">
              <w:rPr>
                <w:sz w:val="18"/>
                <w:szCs w:val="18"/>
                <w:lang w:val="ro-RO" w:eastAsia="en-US"/>
              </w:rPr>
              <w:t>ă</w:t>
            </w:r>
            <w:r w:rsidRPr="003E007B">
              <w:rPr>
                <w:sz w:val="18"/>
                <w:szCs w:val="18"/>
                <w:lang w:val="ro-MD" w:eastAsia="en-US"/>
              </w:rPr>
              <w:t>:</w:t>
            </w:r>
          </w:p>
          <w:p w14:paraId="219F8FEE"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26.1. modelul de calcul al expunerii menționat la punctul 21 face parte din sistemul intern de gestionare a riscului CVA al băncii care include identificarea, măsurarea, gestionarea, aprobarea și raportarea internă a CVA și a riscului CVA în scopuri contabile;</w:t>
            </w:r>
          </w:p>
          <w:p w14:paraId="016166E5"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26.2. banca dispune de un proces pentru a asigura conformitatea cu un set documentat de politici interne, controale, evaluări ale performanței modelului și proceduri privind modelul de calcul al expunerii menționat la punctul 21;</w:t>
            </w:r>
          </w:p>
          <w:p w14:paraId="10B512F8"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26.3. banca dispune de o subdiviziune de validare independentă care este responsabilă cu validarea efectivă inițială și continuă a modelului de calcul al expunerii menționat la punctul 21; această subdiviziune este independentă de subdiviziunile care se ocupă de credite și de subdiviziunile de tranzacționare, inclusiv de subdiviziunea menționată la subpunctului 17.1., și raportează direct organului executiv; subdiviziunea dispune de personal suficient cu un nivel de competențe adecvat pentru îndeplinirea scopului respectiv;</w:t>
            </w:r>
          </w:p>
          <w:p w14:paraId="0DA57B48"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26.4. organul executiv participă activ la procesul de control al riscului și consideră controlul riscului CVA drept un aspect esențial al activității economice, căruia trebuie să i se aloce resurse adecvate;</w:t>
            </w:r>
          </w:p>
          <w:p w14:paraId="20772734"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 xml:space="preserve">26.5. banca documentează procesul de validare inițială și continuă a modelului de calcul al expunerii menționat la punctul 21, la un nivel de detaliere care ar permite unei părți terțe să înțeleagă modul în care funcționează modelele, limitările și ipotezele lor principale și să </w:t>
            </w:r>
            <w:r w:rsidRPr="003E007B">
              <w:rPr>
                <w:sz w:val="18"/>
                <w:szCs w:val="18"/>
                <w:lang w:val="ro-MD" w:eastAsia="en-US"/>
              </w:rPr>
              <w:lastRenderedPageBreak/>
              <w:t>recreeze analiza; documentația respectivă stabilește frecvența minimă cu care se efectuează validarea continuă, precum și alte circumstanțe, cum ar fi o schimbare bruscă a comportamentului pe piață, în care se efectuează o validare suplimentară; documentația descrie modul în care se efectuează validarea în ceea ce privește fluxurile de date și portofoliile, ce analize sunt utilizate și modul în care sunt constituite portofoliile reprezentative ale contrapărților;</w:t>
            </w:r>
          </w:p>
          <w:p w14:paraId="1627ADE7"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26.6. modelele de evaluare utilizate în modelul de calcul al expunerii menționat la punctul 21 pentru un anumit scenariu de factori de risc de piață simulați sunt testate în raport cu valorile de referință independente adecvate pentru o gamă largă de stări ale pieței, ca parte a procesului de validare inițială și continuă a modelului; modelele de evaluare a opțiunilor țin seama de neliniaritatea valorii opțiunii în ceea ce privește factorii de risc de piață;</w:t>
            </w:r>
          </w:p>
          <w:p w14:paraId="0B473500"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26.7. în cadrul procesului de audit intern al băncii se efectuează cu regularitate o reexaminare independentă a sistemului său intern de gestionare a riscului CVA menționat la subpunctul 26.1.; respectiva reexaminare include activitățile atât ale unității menționate la subpunctului 17.1., cât și ale subdiviziunii independente de validare menționate la subpunctul 26.3.;</w:t>
            </w:r>
          </w:p>
          <w:p w14:paraId="45C8F410"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 xml:space="preserve">26.8. modelul de CVA reglementară utilizat de bancă pentru calcularea expunerii viitoare actualizate simulate menționate la punctul 21 reflectă condițiile și specificațiile tranzacțiilor și contractele în marjă într-un mod prompt, </w:t>
            </w:r>
            <w:r w:rsidRPr="003E007B">
              <w:rPr>
                <w:sz w:val="18"/>
                <w:szCs w:val="18"/>
                <w:lang w:val="ro-MD" w:eastAsia="en-US"/>
              </w:rPr>
              <w:lastRenderedPageBreak/>
              <w:t>complet și prudent; condițiile și specificațiile se păstrează într-o bază de date securizată, care face obiectul unui audit formal și periodic; transmiterea datelor privind condițiile și specificațiile tranzacțiilor și contractele în marjă în vederea integrării în modelul de calcul al expunerii face, de asemenea, obiectul auditului intern, iar între modelul intern și sistemele de date-sursă există procese de reconciliere formală pentru a verifica în permanență dacă specificațiile și condițiile tranzacțiilor și contractele în marjă sunt reflectate corect sau, cel puțin, prudent în sistemul de calcul al expunerii;</w:t>
            </w:r>
          </w:p>
          <w:p w14:paraId="4947EEB4"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26.9. intrările curente și istorice de date de piață,  utilizate în model de bancă pentru calcularea expunerii viitoare actualizate simulate menționate la punctul 21 se obțin independent de liniile de activitate și se introduc în modelul respectiv în mod prompt și complet și se păstrează într-o bază de date securizată care face obiectul unui audit formal și periodic; banca dispune de un proces bine dezvoltat de verificare a integrității datelor pentru a gestiona observațiile privind date neadecvate; în cazul în care modelul se bazează pe date de substituire a datelor de piață, banca elaborează politici interne pentru a identifica substituenți adecvați și demonstrează în mod empiric și în permanență că substituenții oferă o reprezentare prudentă a riscului-suport;</w:t>
            </w:r>
          </w:p>
          <w:p w14:paraId="679D4C4D" w14:textId="77777777" w:rsidR="003E007B" w:rsidRPr="003E007B" w:rsidRDefault="003E007B" w:rsidP="003E007B">
            <w:pPr>
              <w:pStyle w:val="ListParagraph"/>
              <w:ind w:left="0"/>
              <w:rPr>
                <w:sz w:val="18"/>
                <w:szCs w:val="18"/>
                <w:lang w:val="ro-MD" w:eastAsia="en-US"/>
              </w:rPr>
            </w:pPr>
            <w:r w:rsidRPr="003E007B">
              <w:rPr>
                <w:sz w:val="18"/>
                <w:szCs w:val="18"/>
                <w:lang w:val="ro-MD" w:eastAsia="en-US"/>
              </w:rPr>
              <w:t xml:space="preserve">26.10. modelul de calcul al expunerii menționat la punctul 21 cuprinde informațiile specifice cu privire la tranzacții și informațiile contractuale care sunt necesare pentru a putea agrega expunerile la nivelul setului de compensare; banca verifică dacă în cadrul modelului </w:t>
            </w:r>
            <w:r w:rsidRPr="003E007B">
              <w:rPr>
                <w:sz w:val="18"/>
                <w:szCs w:val="18"/>
                <w:lang w:val="ro-MD" w:eastAsia="en-US"/>
              </w:rPr>
              <w:lastRenderedPageBreak/>
              <w:t>tranzacțiile sunt atribuite setului de compensare adecvat.</w:t>
            </w:r>
          </w:p>
          <w:p w14:paraId="48A28D1D" w14:textId="188508CE" w:rsidR="008D7F28" w:rsidRPr="002460E2" w:rsidRDefault="003E007B" w:rsidP="003E007B">
            <w:pPr>
              <w:pStyle w:val="ListParagraph"/>
              <w:tabs>
                <w:tab w:val="left" w:pos="993"/>
              </w:tabs>
              <w:ind w:left="0"/>
              <w:jc w:val="both"/>
              <w:rPr>
                <w:sz w:val="18"/>
                <w:szCs w:val="18"/>
                <w:lang w:val="ro-MD" w:eastAsia="en-US"/>
              </w:rPr>
            </w:pPr>
            <w:r w:rsidRPr="002460E2">
              <w:rPr>
                <w:sz w:val="18"/>
                <w:szCs w:val="18"/>
                <w:lang w:val="ro-MD" w:eastAsia="en-US"/>
              </w:rPr>
              <w:t>27. În scopul calculării cerințelor de fonduri proprii pentru riscul CVA, modelul de calcul al expunerii menționat la punctul 21 poate avea specificații și ipoteze diferite pentru a îndeplini toate cerințele prevăzute la prezenta secțiune, cu excepția faptului că intrările sale de date de piață și recunoașterea compensării sunt aceleași ca cele utilizate în scopuri contabile.</w:t>
            </w:r>
          </w:p>
        </w:tc>
        <w:tc>
          <w:tcPr>
            <w:tcW w:w="1229" w:type="dxa"/>
          </w:tcPr>
          <w:p w14:paraId="1F0C7D6F" w14:textId="12FE7A1E"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2EC46AE6" w14:textId="77777777" w:rsidR="008D7F28" w:rsidRPr="002460E2" w:rsidRDefault="008D7F28" w:rsidP="008D7F28">
            <w:pPr>
              <w:jc w:val="both"/>
              <w:rPr>
                <w:sz w:val="18"/>
                <w:szCs w:val="18"/>
                <w:lang w:val="ro-MD"/>
              </w:rPr>
            </w:pPr>
          </w:p>
        </w:tc>
      </w:tr>
      <w:tr w:rsidR="008D7F28" w:rsidRPr="002460E2" w14:paraId="274505E3" w14:textId="77777777" w:rsidTr="003F5B3C">
        <w:trPr>
          <w:trHeight w:val="918"/>
        </w:trPr>
        <w:tc>
          <w:tcPr>
            <w:tcW w:w="4253" w:type="dxa"/>
          </w:tcPr>
          <w:p w14:paraId="252E566F" w14:textId="1F8C690B" w:rsidR="008D7F28" w:rsidRPr="002460E2" w:rsidRDefault="008D7F28" w:rsidP="008D7F28">
            <w:pPr>
              <w:rPr>
                <w:sz w:val="18"/>
                <w:szCs w:val="18"/>
                <w:lang w:val="en-US"/>
              </w:rPr>
            </w:pPr>
            <w:r w:rsidRPr="002460E2">
              <w:rPr>
                <w:sz w:val="18"/>
                <w:szCs w:val="18"/>
                <w:lang w:val="en-US"/>
              </w:rPr>
              <w:lastRenderedPageBreak/>
              <w:t>(4) ABE elaborează proiecte de standarde tehnice de reglementare pentru a preciza:</w:t>
            </w:r>
          </w:p>
          <w:p w14:paraId="63420F42" w14:textId="68A68152" w:rsidR="008D7F28" w:rsidRPr="002460E2" w:rsidRDefault="008D7F28" w:rsidP="008D7F28">
            <w:pPr>
              <w:rPr>
                <w:sz w:val="18"/>
                <w:szCs w:val="18"/>
                <w:lang w:val="en-US"/>
              </w:rPr>
            </w:pPr>
            <w:r w:rsidRPr="002460E2">
              <w:rPr>
                <w:sz w:val="18"/>
                <w:szCs w:val="18"/>
                <w:lang w:val="en-US"/>
              </w:rPr>
              <w:t>(a) modul în care instituțiile trebuie să stabilească marjele aproximative menționate la alineatul (2) litera (b) în scopul calculării probabilităților de nerambursare;</w:t>
            </w:r>
          </w:p>
          <w:p w14:paraId="3C475BBB" w14:textId="56BC0BB7" w:rsidR="008D7F28" w:rsidRPr="002460E2" w:rsidRDefault="008D7F28" w:rsidP="008D7F28">
            <w:pPr>
              <w:rPr>
                <w:sz w:val="18"/>
                <w:szCs w:val="18"/>
                <w:lang w:val="en-US"/>
              </w:rPr>
            </w:pPr>
            <w:r w:rsidRPr="002460E2">
              <w:rPr>
                <w:sz w:val="18"/>
                <w:szCs w:val="18"/>
                <w:lang w:val="en-US"/>
              </w:rPr>
              <w:t>(b) alte elemente tehnice pe care instituțiile trebuie să le ia în considerare atunci când calculează pierderea așteptată în caz de nerambursare a contrapărții, probabilitățile de nerambursare ale contrapărții și expunerea viitoare actualizată simulată a portofoliului de tranzacții cu contrapartea respectivă, precum și CVA, astfel cum se menționează la alineatul (1);</w:t>
            </w:r>
          </w:p>
          <w:p w14:paraId="6EF18F04" w14:textId="071A5F06" w:rsidR="008D7F28" w:rsidRPr="002460E2" w:rsidRDefault="008D7F28" w:rsidP="008D7F28">
            <w:pPr>
              <w:rPr>
                <w:sz w:val="18"/>
                <w:szCs w:val="18"/>
                <w:lang w:val="en-US"/>
              </w:rPr>
            </w:pPr>
            <w:r w:rsidRPr="002460E2">
              <w:rPr>
                <w:sz w:val="18"/>
                <w:szCs w:val="18"/>
                <w:lang w:val="en-US"/>
              </w:rPr>
              <w:t>(c) care alte instrumente menționate la alineatul (2) litera (a) sunt adecvate pentru a estima probabilitățile de nerambursare ale contrapărții și modul în care instituțiile trebuie să efectueze această estimare.</w:t>
            </w:r>
          </w:p>
          <w:p w14:paraId="44088384" w14:textId="77777777" w:rsidR="008D7F28" w:rsidRPr="002460E2" w:rsidRDefault="008D7F28" w:rsidP="008D7F28">
            <w:pPr>
              <w:rPr>
                <w:sz w:val="18"/>
                <w:szCs w:val="18"/>
                <w:lang w:val="en-US"/>
              </w:rPr>
            </w:pPr>
            <w:r w:rsidRPr="002460E2">
              <w:rPr>
                <w:sz w:val="18"/>
                <w:szCs w:val="18"/>
                <w:lang w:val="en-US"/>
              </w:rPr>
              <w:t>ABE prezintă Comisiei aceste proiecte de standarde tehnice de reglementare până la 10 iulie 2027.</w:t>
            </w:r>
          </w:p>
          <w:p w14:paraId="5F3201C3" w14:textId="19BC201B" w:rsidR="008D7F28" w:rsidRPr="002460E2" w:rsidRDefault="008D7F28" w:rsidP="008D7F28">
            <w:pPr>
              <w:rPr>
                <w:sz w:val="18"/>
                <w:szCs w:val="18"/>
                <w:lang w:val="en-US"/>
              </w:rPr>
            </w:pPr>
            <w:r w:rsidRPr="002460E2">
              <w:rPr>
                <w:sz w:val="18"/>
                <w:szCs w:val="18"/>
                <w:lang w:val="en-US"/>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3685" w:type="dxa"/>
            <w:shd w:val="clear" w:color="auto" w:fill="auto"/>
          </w:tcPr>
          <w:p w14:paraId="1C7A91DA" w14:textId="299A76C9" w:rsidR="008D7F28" w:rsidRPr="002460E2" w:rsidRDefault="008D7F28" w:rsidP="008D7F28">
            <w:pPr>
              <w:pStyle w:val="NoSpacing"/>
              <w:tabs>
                <w:tab w:val="left" w:pos="272"/>
                <w:tab w:val="left" w:pos="328"/>
              </w:tabs>
              <w:jc w:val="both"/>
              <w:rPr>
                <w:rFonts w:ascii="Times New Roman" w:hAnsi="Times New Roman" w:cs="Times New Roman"/>
                <w:b/>
                <w:bCs/>
                <w:sz w:val="18"/>
                <w:szCs w:val="18"/>
                <w:lang w:val="ro-MD"/>
              </w:rPr>
            </w:pPr>
          </w:p>
        </w:tc>
        <w:tc>
          <w:tcPr>
            <w:tcW w:w="1229" w:type="dxa"/>
          </w:tcPr>
          <w:p w14:paraId="253A0860" w14:textId="4D5761B0" w:rsidR="008D7F28" w:rsidRPr="002460E2" w:rsidRDefault="00233328" w:rsidP="008D7F28">
            <w:pPr>
              <w:jc w:val="both"/>
              <w:rPr>
                <w:sz w:val="18"/>
                <w:szCs w:val="18"/>
                <w:lang w:val="ro-MD"/>
              </w:rPr>
            </w:pPr>
            <w:r w:rsidRPr="00233328">
              <w:rPr>
                <w:color w:val="000000"/>
                <w:sz w:val="18"/>
                <w:szCs w:val="18"/>
              </w:rPr>
              <w:t>prevederi UE neaplicabile</w:t>
            </w:r>
          </w:p>
        </w:tc>
        <w:tc>
          <w:tcPr>
            <w:tcW w:w="5292" w:type="dxa"/>
            <w:tcBorders>
              <w:top w:val="single" w:sz="4" w:space="0" w:color="auto"/>
              <w:bottom w:val="single" w:sz="4" w:space="0" w:color="auto"/>
            </w:tcBorders>
          </w:tcPr>
          <w:p w14:paraId="083F7FBC" w14:textId="409B87EF" w:rsidR="008D7F28" w:rsidRPr="002460E2" w:rsidRDefault="008D7F28" w:rsidP="008D7F28">
            <w:pPr>
              <w:jc w:val="both"/>
              <w:rPr>
                <w:sz w:val="18"/>
                <w:szCs w:val="18"/>
                <w:lang w:val="ro-MD"/>
              </w:rPr>
            </w:pPr>
            <w:r w:rsidRPr="002460E2">
              <w:rPr>
                <w:sz w:val="18"/>
                <w:szCs w:val="18"/>
                <w:lang w:val="ro-MD"/>
              </w:rPr>
              <w:t>Nu se transpune, deoarece ține de competența ABE.</w:t>
            </w:r>
          </w:p>
        </w:tc>
      </w:tr>
      <w:tr w:rsidR="008D7F28" w:rsidRPr="002460E2" w14:paraId="4D3879EC" w14:textId="77777777" w:rsidTr="003F5B3C">
        <w:trPr>
          <w:trHeight w:val="918"/>
        </w:trPr>
        <w:tc>
          <w:tcPr>
            <w:tcW w:w="4253" w:type="dxa"/>
          </w:tcPr>
          <w:p w14:paraId="1A33DA27" w14:textId="6B9C8ACD" w:rsidR="008D7F28" w:rsidRPr="002460E2" w:rsidRDefault="008D7F28" w:rsidP="008D7F28">
            <w:pPr>
              <w:rPr>
                <w:sz w:val="18"/>
                <w:szCs w:val="18"/>
                <w:lang w:val="en-US"/>
              </w:rPr>
            </w:pPr>
            <w:r w:rsidRPr="002460E2">
              <w:rPr>
                <w:sz w:val="18"/>
                <w:szCs w:val="18"/>
                <w:lang w:val="en-US"/>
              </w:rPr>
              <w:lastRenderedPageBreak/>
              <w:t>(5) ABE elaborează proiecte de standarde tehnice de reglementare pentru a preciza:</w:t>
            </w:r>
          </w:p>
          <w:p w14:paraId="31577E2F" w14:textId="75FEF14C" w:rsidR="008D7F28" w:rsidRPr="002460E2" w:rsidRDefault="008D7F28" w:rsidP="008D7F28">
            <w:pPr>
              <w:rPr>
                <w:sz w:val="18"/>
                <w:szCs w:val="18"/>
                <w:lang w:val="en-US"/>
              </w:rPr>
            </w:pPr>
            <w:r w:rsidRPr="002460E2">
              <w:rPr>
                <w:sz w:val="18"/>
                <w:szCs w:val="18"/>
                <w:lang w:val="en-US"/>
              </w:rPr>
              <w:t>(a) condițiile de evaluare a importanței extinderilor și modificărilor utilizării abordării standardizate, astfel cum se menționează la articolul 383 alineatul (3);</w:t>
            </w:r>
          </w:p>
          <w:p w14:paraId="3C9DA8D2" w14:textId="507BEAAB" w:rsidR="008D7F28" w:rsidRPr="002460E2" w:rsidRDefault="008D7F28" w:rsidP="008D7F28">
            <w:pPr>
              <w:rPr>
                <w:sz w:val="18"/>
                <w:szCs w:val="18"/>
                <w:lang w:val="en-US"/>
              </w:rPr>
            </w:pPr>
            <w:r w:rsidRPr="002460E2">
              <w:rPr>
                <w:sz w:val="18"/>
                <w:szCs w:val="18"/>
                <w:lang w:val="en-US"/>
              </w:rPr>
              <w:t>(b) metodologia de evaluare pe baza căreia autoritățile competente trebuie să verifice respectarea de către o instituție a cerințelor prevăzute la articolele 383 și 383a.</w:t>
            </w:r>
          </w:p>
          <w:p w14:paraId="0762441A" w14:textId="77777777" w:rsidR="008D7F28" w:rsidRPr="002460E2" w:rsidRDefault="008D7F28" w:rsidP="008D7F28">
            <w:pPr>
              <w:rPr>
                <w:sz w:val="18"/>
                <w:szCs w:val="18"/>
                <w:lang w:val="en-US"/>
              </w:rPr>
            </w:pPr>
            <w:r w:rsidRPr="002460E2">
              <w:rPr>
                <w:sz w:val="18"/>
                <w:szCs w:val="18"/>
                <w:lang w:val="en-US"/>
              </w:rPr>
              <w:t>ABE prezintă Comisiei respectivele proiecte de standarde tehnice de reglementare până la 10 iulie 2028.</w:t>
            </w:r>
          </w:p>
          <w:p w14:paraId="44695A4E" w14:textId="7D5911ED" w:rsidR="008D7F28" w:rsidRPr="002460E2" w:rsidRDefault="008D7F28" w:rsidP="008D7F28">
            <w:pPr>
              <w:rPr>
                <w:sz w:val="18"/>
                <w:szCs w:val="18"/>
                <w:lang w:val="en-US"/>
              </w:rPr>
            </w:pPr>
            <w:r w:rsidRPr="002460E2">
              <w:rPr>
                <w:sz w:val="18"/>
                <w:szCs w:val="18"/>
                <w:lang w:val="en-US"/>
              </w:rPr>
              <w:t>Se deleagă Comisiei competența de a completa prezentul regulament prin adoptarea standardelor tehnice de reglementare menționate la primul paragraf de la prezentul alineat, în conformitate cu articolele 10-14 din Regulamentul (UE) nr. 1093/2010.</w:t>
            </w:r>
          </w:p>
        </w:tc>
        <w:tc>
          <w:tcPr>
            <w:tcW w:w="3685" w:type="dxa"/>
            <w:shd w:val="clear" w:color="auto" w:fill="auto"/>
          </w:tcPr>
          <w:p w14:paraId="18BA325D" w14:textId="1E8A2C92" w:rsidR="008D7F28" w:rsidRPr="002460E2" w:rsidRDefault="008D7F28" w:rsidP="008D7F28">
            <w:pPr>
              <w:pStyle w:val="NoSpacing"/>
              <w:tabs>
                <w:tab w:val="left" w:pos="328"/>
              </w:tabs>
              <w:jc w:val="both"/>
              <w:rPr>
                <w:rFonts w:ascii="Times New Roman" w:hAnsi="Times New Roman" w:cs="Times New Roman"/>
                <w:b/>
                <w:bCs/>
                <w:sz w:val="18"/>
                <w:szCs w:val="18"/>
                <w:lang w:val="ro-MD"/>
              </w:rPr>
            </w:pPr>
          </w:p>
        </w:tc>
        <w:tc>
          <w:tcPr>
            <w:tcW w:w="1229" w:type="dxa"/>
          </w:tcPr>
          <w:p w14:paraId="3A2ACCF6" w14:textId="486D674B" w:rsidR="008D7F28" w:rsidRPr="002460E2" w:rsidRDefault="00233328" w:rsidP="008D7F28">
            <w:pPr>
              <w:jc w:val="both"/>
              <w:rPr>
                <w:sz w:val="18"/>
                <w:szCs w:val="18"/>
                <w:highlight w:val="yellow"/>
                <w:lang w:val="ro-MD"/>
              </w:rPr>
            </w:pPr>
            <w:r w:rsidRPr="00233328">
              <w:rPr>
                <w:sz w:val="18"/>
                <w:szCs w:val="18"/>
              </w:rPr>
              <w:t>prevederi UE neaplicabile</w:t>
            </w:r>
          </w:p>
        </w:tc>
        <w:tc>
          <w:tcPr>
            <w:tcW w:w="5292" w:type="dxa"/>
            <w:tcBorders>
              <w:top w:val="single" w:sz="4" w:space="0" w:color="auto"/>
              <w:bottom w:val="single" w:sz="4" w:space="0" w:color="auto"/>
            </w:tcBorders>
          </w:tcPr>
          <w:p w14:paraId="55DD85EA" w14:textId="16157DE3" w:rsidR="008D7F28" w:rsidRPr="002460E2" w:rsidRDefault="008D7F28" w:rsidP="008D7F28">
            <w:pPr>
              <w:jc w:val="both"/>
              <w:rPr>
                <w:sz w:val="18"/>
                <w:szCs w:val="18"/>
                <w:lang w:val="ro-MD"/>
              </w:rPr>
            </w:pPr>
            <w:r w:rsidRPr="002460E2">
              <w:rPr>
                <w:sz w:val="18"/>
                <w:szCs w:val="18"/>
                <w:lang w:val="ro-MD"/>
              </w:rPr>
              <w:t>Nu se transpune, deoarece ține de competența ABE.</w:t>
            </w:r>
          </w:p>
        </w:tc>
      </w:tr>
      <w:tr w:rsidR="008D7F28" w:rsidRPr="002460E2" w14:paraId="05501664" w14:textId="77777777" w:rsidTr="003F5B3C">
        <w:trPr>
          <w:trHeight w:val="918"/>
        </w:trPr>
        <w:tc>
          <w:tcPr>
            <w:tcW w:w="4253" w:type="dxa"/>
          </w:tcPr>
          <w:p w14:paraId="6CF50620" w14:textId="77777777" w:rsidR="008D7F28" w:rsidRPr="002460E2" w:rsidRDefault="008D7F28" w:rsidP="008D7F28">
            <w:pPr>
              <w:pStyle w:val="title-article-norm"/>
              <w:jc w:val="both"/>
              <w:rPr>
                <w:sz w:val="18"/>
                <w:szCs w:val="18"/>
                <w:lang w:val="ro-MD"/>
              </w:rPr>
            </w:pPr>
            <w:r w:rsidRPr="002460E2">
              <w:rPr>
                <w:sz w:val="18"/>
                <w:szCs w:val="18"/>
                <w:lang w:val="ro-MD"/>
              </w:rPr>
              <w:t>Articolul 383b</w:t>
            </w:r>
          </w:p>
          <w:p w14:paraId="0EF8E527" w14:textId="77777777" w:rsidR="008D7F28" w:rsidRPr="002460E2" w:rsidRDefault="008D7F28" w:rsidP="008D7F28">
            <w:pPr>
              <w:pStyle w:val="title-article-norm"/>
              <w:jc w:val="both"/>
              <w:rPr>
                <w:b/>
                <w:bCs/>
                <w:i w:val="0"/>
                <w:iCs w:val="0"/>
                <w:sz w:val="18"/>
                <w:szCs w:val="18"/>
                <w:lang w:val="ro-MD"/>
              </w:rPr>
            </w:pPr>
            <w:r w:rsidRPr="002460E2">
              <w:rPr>
                <w:b/>
                <w:bCs/>
                <w:i w:val="0"/>
                <w:iCs w:val="0"/>
                <w:sz w:val="18"/>
                <w:szCs w:val="18"/>
                <w:lang w:val="ro-MD"/>
              </w:rPr>
              <w:t>Cerințele de fonduri proprii pentru riscurile delta și vega</w:t>
            </w:r>
          </w:p>
          <w:p w14:paraId="554E0774" w14:textId="180177E8" w:rsidR="008D7F28" w:rsidRPr="002460E2" w:rsidRDefault="008D7F28" w:rsidP="008D7F28">
            <w:pPr>
              <w:pStyle w:val="title-article-norm"/>
              <w:jc w:val="left"/>
              <w:rPr>
                <w:i w:val="0"/>
                <w:iCs w:val="0"/>
                <w:sz w:val="18"/>
                <w:szCs w:val="18"/>
                <w:lang w:val="ro-MD"/>
              </w:rPr>
            </w:pPr>
            <w:r w:rsidRPr="002460E2">
              <w:rPr>
                <w:i w:val="0"/>
                <w:iCs w:val="0"/>
                <w:sz w:val="18"/>
                <w:szCs w:val="18"/>
                <w:lang w:val="ro-MD"/>
              </w:rPr>
              <w:t>(1) Instituțiile aplică factorii de risc delta și vega descriși la articolele 383c-383h și procesul prevăzut la alineatele (2)-(8) de la prezentul articol pentru a calcula cerințele de fonduri proprii pentru riscurile delta și vega.</w:t>
            </w:r>
          </w:p>
        </w:tc>
        <w:tc>
          <w:tcPr>
            <w:tcW w:w="3685" w:type="dxa"/>
            <w:shd w:val="clear" w:color="auto" w:fill="auto"/>
          </w:tcPr>
          <w:p w14:paraId="1CC2A1A1" w14:textId="77777777" w:rsidR="008D7F28" w:rsidRPr="002460E2" w:rsidRDefault="008D7F28" w:rsidP="008D7F28">
            <w:pPr>
              <w:pStyle w:val="ListParagraph"/>
              <w:ind w:left="0"/>
              <w:jc w:val="center"/>
              <w:rPr>
                <w:i/>
                <w:iCs/>
                <w:sz w:val="18"/>
                <w:szCs w:val="18"/>
                <w:lang w:val="ro-MD"/>
              </w:rPr>
            </w:pPr>
            <w:bookmarkStart w:id="5" w:name="_Hlk199521010"/>
            <w:r w:rsidRPr="002460E2">
              <w:rPr>
                <w:i/>
                <w:iCs/>
                <w:sz w:val="18"/>
                <w:szCs w:val="18"/>
                <w:lang w:val="ro-MD"/>
              </w:rPr>
              <w:t>Secțiunea a 3-a</w:t>
            </w:r>
          </w:p>
          <w:bookmarkEnd w:id="5"/>
          <w:p w14:paraId="71BF6B56" w14:textId="77777777" w:rsidR="008D7F28" w:rsidRPr="002460E2" w:rsidRDefault="008D7F28" w:rsidP="008D7F28">
            <w:pPr>
              <w:pStyle w:val="ListParagraph"/>
              <w:tabs>
                <w:tab w:val="left" w:pos="426"/>
                <w:tab w:val="left" w:pos="993"/>
              </w:tabs>
              <w:ind w:left="0"/>
              <w:jc w:val="center"/>
              <w:rPr>
                <w:b/>
                <w:bCs/>
                <w:sz w:val="18"/>
                <w:szCs w:val="18"/>
                <w:lang w:val="ro-MD"/>
              </w:rPr>
            </w:pPr>
            <w:r w:rsidRPr="002460E2">
              <w:rPr>
                <w:b/>
                <w:bCs/>
                <w:sz w:val="18"/>
                <w:szCs w:val="18"/>
                <w:lang w:val="ro-MD"/>
              </w:rPr>
              <w:t>Cerințele de fonduri proprii pentru riscurile delta și vega</w:t>
            </w:r>
          </w:p>
          <w:p w14:paraId="0147AE0E" w14:textId="77777777" w:rsidR="003E007B" w:rsidRPr="003E007B" w:rsidRDefault="003E007B" w:rsidP="003E007B">
            <w:pPr>
              <w:pStyle w:val="ListParagraph"/>
              <w:ind w:left="0"/>
              <w:rPr>
                <w:sz w:val="18"/>
                <w:szCs w:val="18"/>
                <w:lang w:val="ro-MD"/>
              </w:rPr>
            </w:pPr>
            <w:r w:rsidRPr="003E007B">
              <w:rPr>
                <w:sz w:val="18"/>
                <w:szCs w:val="18"/>
                <w:lang w:val="ro-MD"/>
              </w:rPr>
              <w:t>28. Băncile aplică factorii de risc delta și vega descriși la punctele 41-62 și procesul prevăzut la punctele 29-40 pentru a calcula cerințele de fonduri proprii pentru riscurile delta și vega.</w:t>
            </w:r>
          </w:p>
          <w:p w14:paraId="2D80C93B" w14:textId="77777777" w:rsidR="008D7F28" w:rsidRPr="002460E2" w:rsidRDefault="008D7F28" w:rsidP="008D7F28">
            <w:pPr>
              <w:pStyle w:val="NoSpacing"/>
              <w:tabs>
                <w:tab w:val="left" w:pos="328"/>
              </w:tabs>
              <w:jc w:val="both"/>
              <w:rPr>
                <w:rFonts w:ascii="Times New Roman" w:hAnsi="Times New Roman" w:cs="Times New Roman"/>
                <w:b/>
                <w:bCs/>
                <w:sz w:val="18"/>
                <w:szCs w:val="18"/>
                <w:lang w:val="ro-MD"/>
              </w:rPr>
            </w:pPr>
          </w:p>
        </w:tc>
        <w:tc>
          <w:tcPr>
            <w:tcW w:w="1229" w:type="dxa"/>
          </w:tcPr>
          <w:p w14:paraId="40B498FA" w14:textId="4265CF40"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 xml:space="preserve">ompatibil </w:t>
            </w:r>
          </w:p>
        </w:tc>
        <w:tc>
          <w:tcPr>
            <w:tcW w:w="5292" w:type="dxa"/>
            <w:tcBorders>
              <w:top w:val="single" w:sz="4" w:space="0" w:color="auto"/>
              <w:bottom w:val="single" w:sz="4" w:space="0" w:color="auto"/>
            </w:tcBorders>
          </w:tcPr>
          <w:p w14:paraId="7CF79C95" w14:textId="77777777" w:rsidR="008D7F28" w:rsidRPr="002460E2" w:rsidRDefault="008D7F28" w:rsidP="008D7F28">
            <w:pPr>
              <w:jc w:val="both"/>
              <w:rPr>
                <w:sz w:val="18"/>
                <w:szCs w:val="18"/>
                <w:lang w:val="ro-MD"/>
              </w:rPr>
            </w:pPr>
          </w:p>
        </w:tc>
      </w:tr>
      <w:tr w:rsidR="008D7F28" w:rsidRPr="002460E2" w14:paraId="468781BE" w14:textId="77777777" w:rsidTr="003F5B3C">
        <w:trPr>
          <w:trHeight w:val="918"/>
        </w:trPr>
        <w:tc>
          <w:tcPr>
            <w:tcW w:w="4253" w:type="dxa"/>
          </w:tcPr>
          <w:p w14:paraId="2F0772A9" w14:textId="117FD293" w:rsidR="008D7F28" w:rsidRPr="002460E2" w:rsidRDefault="008D7F28" w:rsidP="008D7F28">
            <w:pPr>
              <w:rPr>
                <w:sz w:val="18"/>
                <w:szCs w:val="18"/>
                <w:lang w:val="en-US"/>
              </w:rPr>
            </w:pPr>
            <w:r w:rsidRPr="002460E2">
              <w:rPr>
                <w:sz w:val="18"/>
                <w:szCs w:val="18"/>
                <w:lang w:val="en-US"/>
              </w:rPr>
              <w:t xml:space="preserve">(2) Pentru fiecare clasă de risc menționată la articolul 383 alineatul (2), sensibilitatea CVA-urilor agregate și sensibilitatea tuturor pozițiilor pe acoperiri eligibile care intră sub incidența cerințelor de fonduri proprii pentru riscul delta sau vega la fiecare dintre factorii de risc delta sau vega aplicabili incluși în clasa de risc respectivă se calculează utilizând formulele corespunzătoare prevăzute la articolele 383i și 383j. În cazul în care valoarea unui instrument depinde de mai </w:t>
            </w:r>
            <w:r w:rsidRPr="002460E2">
              <w:rPr>
                <w:sz w:val="18"/>
                <w:szCs w:val="18"/>
                <w:lang w:val="en-US"/>
              </w:rPr>
              <w:lastRenderedPageBreak/>
              <w:t>mulți factori de risc, sensibilitatea se determină separat pentru fiecare factor de risc.</w:t>
            </w:r>
          </w:p>
          <w:p w14:paraId="4BC68B9F" w14:textId="77777777" w:rsidR="008D7F28" w:rsidRPr="002460E2" w:rsidRDefault="008D7F28" w:rsidP="008D7F28">
            <w:pPr>
              <w:rPr>
                <w:sz w:val="18"/>
                <w:szCs w:val="18"/>
                <w:lang w:val="en-US"/>
              </w:rPr>
            </w:pPr>
            <w:r w:rsidRPr="002460E2">
              <w:rPr>
                <w:sz w:val="18"/>
                <w:szCs w:val="18"/>
                <w:lang w:val="en-US"/>
              </w:rPr>
              <w:t>Pentru calcularea sensibilităților la riscul vega ale CVA-urilor agregate, se includ atât sensibilitățile la volatilitățile utilizate în modelul de calcul al expunerii pentru a simula factorii de risc, cât și sensibilitățile la volatilitățile utilizate pentru reevaluarea tranzacțiilor cu opțiuni din portofoliul de tranzacții cu contrapartea în cauză.</w:t>
            </w:r>
          </w:p>
          <w:p w14:paraId="6A0723CD" w14:textId="77777777" w:rsidR="008D7F28" w:rsidRPr="002460E2" w:rsidRDefault="008D7F28" w:rsidP="008D7F28">
            <w:pPr>
              <w:rPr>
                <w:sz w:val="18"/>
                <w:szCs w:val="18"/>
                <w:lang w:val="en-US"/>
              </w:rPr>
            </w:pPr>
          </w:p>
          <w:p w14:paraId="1AE71E84" w14:textId="77777777" w:rsidR="008D7F28" w:rsidRPr="002460E2" w:rsidRDefault="008D7F28" w:rsidP="008D7F28">
            <w:pPr>
              <w:rPr>
                <w:sz w:val="18"/>
                <w:szCs w:val="18"/>
                <w:lang w:val="en-US"/>
              </w:rPr>
            </w:pPr>
            <w:r w:rsidRPr="002460E2">
              <w:rPr>
                <w:sz w:val="18"/>
                <w:szCs w:val="18"/>
                <w:lang w:val="en-US"/>
              </w:rPr>
              <w:t>Prin derogare de la alineatul (1) de la prezentul articol, sub rezerva aprobării de către autoritatea competentă, o instituție poate să utilizeze definiții alternative ale sensibilităților la riscurile delta și vega la calcularea cerințelor de fonduri proprii ale unei poziții din portofoliul de tranzacționare în conformitate cu prezentul capitol, dacă instituția îndeplinește cumulativ următoarele condiții:</w:t>
            </w:r>
          </w:p>
          <w:p w14:paraId="172C2425" w14:textId="77777777" w:rsidR="008D7F28" w:rsidRPr="002460E2" w:rsidRDefault="008D7F28" w:rsidP="008D7F28">
            <w:pPr>
              <w:rPr>
                <w:sz w:val="18"/>
                <w:szCs w:val="18"/>
                <w:lang w:val="en-US"/>
              </w:rPr>
            </w:pPr>
          </w:p>
          <w:p w14:paraId="6E748057" w14:textId="0049F0CE" w:rsidR="008D7F28" w:rsidRPr="002460E2" w:rsidRDefault="008D7F28" w:rsidP="008D7F28">
            <w:pPr>
              <w:rPr>
                <w:sz w:val="18"/>
                <w:szCs w:val="18"/>
                <w:lang w:val="en-US"/>
              </w:rPr>
            </w:pPr>
            <w:r w:rsidRPr="002460E2">
              <w:rPr>
                <w:sz w:val="18"/>
                <w:szCs w:val="18"/>
                <w:lang w:val="en-US"/>
              </w:rPr>
              <w:t>(a) definițiile alternative respective sunt utilizate în vederea gestionării interne a riscului sau a raportării către conducerea superioară a profiturilor și a pierderilor de către o unitate independentă de control al riscului din cadrul instituției;</w:t>
            </w:r>
          </w:p>
          <w:p w14:paraId="21D006EE" w14:textId="51BC69E6" w:rsidR="008D7F28" w:rsidRPr="002460E2" w:rsidRDefault="008D7F28" w:rsidP="008D7F28">
            <w:pPr>
              <w:rPr>
                <w:sz w:val="18"/>
                <w:szCs w:val="18"/>
                <w:lang w:val="en-US"/>
              </w:rPr>
            </w:pPr>
            <w:r w:rsidRPr="002460E2">
              <w:rPr>
                <w:sz w:val="18"/>
                <w:szCs w:val="18"/>
                <w:lang w:val="en-US"/>
              </w:rPr>
              <w:t>(b) instituția demonstrează că aceste definiții alternative sunt mai adecvate pentru a reflecta sensibilitățile poziției decât formulele prevăzute la articolele 383i și 383j și că sensibilitățile la riscurile delta și vega rezultate nu diferă în mod semnificativ de cele obținute prin aplicarea formulelor prevăzute la articolele 383i și, respectiv, 383j.</w:t>
            </w:r>
          </w:p>
        </w:tc>
        <w:tc>
          <w:tcPr>
            <w:tcW w:w="3685" w:type="dxa"/>
            <w:shd w:val="clear" w:color="auto" w:fill="auto"/>
          </w:tcPr>
          <w:p w14:paraId="5D1F5AFF" w14:textId="77777777" w:rsidR="003E007B" w:rsidRPr="002460E2" w:rsidRDefault="003E007B" w:rsidP="003E007B">
            <w:pPr>
              <w:pStyle w:val="NoSpacing"/>
              <w:tabs>
                <w:tab w:val="left" w:pos="328"/>
              </w:tabs>
              <w:jc w:val="both"/>
              <w:rPr>
                <w:rFonts w:ascii="Times New Roman" w:hAnsi="Times New Roman" w:cs="Times New Roman"/>
                <w:sz w:val="18"/>
                <w:szCs w:val="18"/>
                <w:lang w:val="ro-MD"/>
              </w:rPr>
            </w:pPr>
            <w:r w:rsidRPr="002460E2">
              <w:rPr>
                <w:rFonts w:ascii="Times New Roman" w:hAnsi="Times New Roman" w:cs="Times New Roman"/>
                <w:sz w:val="18"/>
                <w:szCs w:val="18"/>
                <w:lang w:val="ro-MD"/>
              </w:rPr>
              <w:lastRenderedPageBreak/>
              <w:t>29. Pentru fiecare clasă de risc menționată la punctul 3, sensibilitatea CVA-urilor agregate și sensibilitatea tuturor pozițiilor pe acoperiri eligibile care intră sub incidența cerințelor de fonduri proprii pentru riscul delta sau vega la fiecare dintre factorii de risc delta sau vega aplicabili incluși în clasa de risc respectivă se calculează utilizând formulele corespunzătoare prevăzute la punctele 63-69.</w:t>
            </w:r>
            <w:r w:rsidRPr="002460E2">
              <w:rPr>
                <w:rFonts w:ascii="Times New Roman" w:hAnsi="Times New Roman" w:cs="Times New Roman"/>
                <w:b/>
                <w:bCs/>
                <w:sz w:val="18"/>
                <w:szCs w:val="18"/>
                <w:lang w:val="ro-MD"/>
              </w:rPr>
              <w:t xml:space="preserve"> </w:t>
            </w:r>
            <w:r w:rsidRPr="002460E2">
              <w:rPr>
                <w:rFonts w:ascii="Times New Roman" w:hAnsi="Times New Roman" w:cs="Times New Roman"/>
                <w:sz w:val="18"/>
                <w:szCs w:val="18"/>
                <w:lang w:val="ro-MD"/>
              </w:rPr>
              <w:t xml:space="preserve">În cazul în care </w:t>
            </w:r>
            <w:r w:rsidRPr="002460E2">
              <w:rPr>
                <w:rFonts w:ascii="Times New Roman" w:hAnsi="Times New Roman" w:cs="Times New Roman"/>
                <w:sz w:val="18"/>
                <w:szCs w:val="18"/>
                <w:lang w:val="ro-MD"/>
              </w:rPr>
              <w:lastRenderedPageBreak/>
              <w:t>valoarea unui instrument depinde de mai mulți factori de risc, sensibilitatea se determină separat pentru fiecare factor de risc.</w:t>
            </w:r>
          </w:p>
          <w:p w14:paraId="16F2DECD" w14:textId="77777777" w:rsidR="003E007B" w:rsidRPr="002460E2" w:rsidRDefault="003E007B" w:rsidP="003E007B">
            <w:pPr>
              <w:pStyle w:val="NoSpacing"/>
              <w:tabs>
                <w:tab w:val="left" w:pos="328"/>
              </w:tabs>
              <w:jc w:val="both"/>
              <w:rPr>
                <w:rFonts w:ascii="Times New Roman" w:hAnsi="Times New Roman" w:cs="Times New Roman"/>
                <w:sz w:val="18"/>
                <w:szCs w:val="18"/>
                <w:lang w:val="ro-MD"/>
              </w:rPr>
            </w:pPr>
            <w:r w:rsidRPr="002460E2">
              <w:rPr>
                <w:rFonts w:ascii="Times New Roman" w:hAnsi="Times New Roman" w:cs="Times New Roman"/>
                <w:sz w:val="18"/>
                <w:szCs w:val="18"/>
                <w:lang w:val="ro-MD"/>
              </w:rPr>
              <w:t>30. Pentru calcularea sensibilităților la riscul vega ale CVA-urilor agregate, se includ atât sensibilitățile la volatilitățile utilizate în modelul de calcul al expunerii pentru a simula factorii de risc, cât și sensibilitățile la volatilitățile utilizate pentru reevaluarea tranzacțiilor cu opțiuni din portofoliul de tranzacții cu contrapartea în cauză.</w:t>
            </w:r>
          </w:p>
          <w:p w14:paraId="7E5A231A" w14:textId="77777777" w:rsidR="003E007B" w:rsidRPr="002460E2" w:rsidRDefault="003E007B" w:rsidP="003E007B">
            <w:pPr>
              <w:pStyle w:val="NoSpacing"/>
              <w:tabs>
                <w:tab w:val="left" w:pos="328"/>
              </w:tabs>
              <w:jc w:val="both"/>
              <w:rPr>
                <w:rFonts w:ascii="Times New Roman" w:hAnsi="Times New Roman" w:cs="Times New Roman"/>
                <w:sz w:val="18"/>
                <w:szCs w:val="18"/>
                <w:lang w:val="ro-MD"/>
              </w:rPr>
            </w:pPr>
            <w:r w:rsidRPr="002460E2">
              <w:rPr>
                <w:rFonts w:ascii="Times New Roman" w:hAnsi="Times New Roman" w:cs="Times New Roman"/>
                <w:sz w:val="18"/>
                <w:szCs w:val="18"/>
                <w:lang w:val="ro-MD"/>
              </w:rPr>
              <w:t>31. Prin derogare de la punctul 28, sub rezerva aprobării prealabile de către Banca Națională a Moldovei, banca poate să utilizeze definiții alternative ale sensibilităților la riscurile delta și vega la calcularea cerințelor de fonduri proprii ale unei poziții din portofoliul de tranzacționare în conformitate cu prezenta secțiune, dacă banca îndeplinește cumulativ următoarele condiții:</w:t>
            </w:r>
          </w:p>
          <w:p w14:paraId="6301AB55" w14:textId="77777777" w:rsidR="003E007B" w:rsidRPr="002460E2" w:rsidRDefault="003E007B" w:rsidP="003E007B">
            <w:pPr>
              <w:pStyle w:val="NoSpacing"/>
              <w:tabs>
                <w:tab w:val="left" w:pos="328"/>
              </w:tabs>
              <w:jc w:val="both"/>
              <w:rPr>
                <w:rFonts w:ascii="Times New Roman" w:hAnsi="Times New Roman" w:cs="Times New Roman"/>
                <w:sz w:val="18"/>
                <w:szCs w:val="18"/>
                <w:lang w:val="ro-MD"/>
              </w:rPr>
            </w:pPr>
            <w:r w:rsidRPr="002460E2">
              <w:rPr>
                <w:rFonts w:ascii="Times New Roman" w:hAnsi="Times New Roman" w:cs="Times New Roman"/>
                <w:sz w:val="18"/>
                <w:szCs w:val="18"/>
                <w:lang w:val="ro-MD"/>
              </w:rPr>
              <w:t>31.1. definițiile alternative respective sunt utilizate în vederea gestionării interne a riscului sau a raportării către conducerea superioară a profiturilor și a pierderilor de către o subdiviziune independentă de control al riscului din cadrul băncii;</w:t>
            </w:r>
          </w:p>
          <w:p w14:paraId="44A69AC6" w14:textId="5216C4B4" w:rsidR="008D7F28" w:rsidRPr="002460E2" w:rsidRDefault="003E007B" w:rsidP="003E007B">
            <w:pPr>
              <w:pStyle w:val="NoSpacing"/>
              <w:tabs>
                <w:tab w:val="left" w:pos="328"/>
              </w:tabs>
              <w:jc w:val="both"/>
              <w:rPr>
                <w:rFonts w:ascii="Times New Roman" w:hAnsi="Times New Roman" w:cs="Times New Roman"/>
                <w:b/>
                <w:bCs/>
                <w:sz w:val="18"/>
                <w:szCs w:val="18"/>
                <w:lang w:val="ro-MD"/>
              </w:rPr>
            </w:pPr>
            <w:r w:rsidRPr="002460E2">
              <w:rPr>
                <w:rFonts w:ascii="Times New Roman" w:hAnsi="Times New Roman" w:cs="Times New Roman"/>
                <w:sz w:val="18"/>
                <w:szCs w:val="18"/>
                <w:lang w:val="ro-MD"/>
              </w:rPr>
              <w:t>31.2. banca demonstrează că aceste definiții alternative sunt mai adecvate pentru a reflecta sensibilitățile poziției decât formulele prevăzute la punctele 63-69 și că sensibilitățile la riscurile delta și vega rezultate nu diferă în mod semnificativ de cele obținute prin aplicarea formulelor prevăzute la punctele 63-69</w:t>
            </w:r>
            <w:r w:rsidRPr="002460E2">
              <w:rPr>
                <w:rFonts w:ascii="Times New Roman" w:hAnsi="Times New Roman" w:cs="Times New Roman"/>
                <w:b/>
                <w:bCs/>
                <w:sz w:val="18"/>
                <w:szCs w:val="18"/>
                <w:lang w:val="ro-MD"/>
              </w:rPr>
              <w:t>.</w:t>
            </w:r>
          </w:p>
        </w:tc>
        <w:tc>
          <w:tcPr>
            <w:tcW w:w="1229" w:type="dxa"/>
          </w:tcPr>
          <w:p w14:paraId="468C6E41" w14:textId="045DF0EB"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6E977F6F" w14:textId="77777777" w:rsidR="008D7F28" w:rsidRPr="002460E2" w:rsidRDefault="008D7F28" w:rsidP="008D7F28">
            <w:pPr>
              <w:jc w:val="both"/>
              <w:rPr>
                <w:sz w:val="18"/>
                <w:szCs w:val="18"/>
                <w:lang w:val="ro-MD"/>
              </w:rPr>
            </w:pPr>
          </w:p>
        </w:tc>
      </w:tr>
      <w:tr w:rsidR="008D7F28" w:rsidRPr="002460E2" w14:paraId="2CD8523F" w14:textId="77777777" w:rsidTr="003F5B3C">
        <w:trPr>
          <w:trHeight w:val="583"/>
        </w:trPr>
        <w:tc>
          <w:tcPr>
            <w:tcW w:w="4253" w:type="dxa"/>
          </w:tcPr>
          <w:p w14:paraId="0F96EC87" w14:textId="23E8848F" w:rsidR="008D7F28" w:rsidRPr="002460E2" w:rsidRDefault="008D7F28" w:rsidP="008D7F28">
            <w:pPr>
              <w:rPr>
                <w:sz w:val="18"/>
                <w:szCs w:val="18"/>
                <w:lang w:val="en-US"/>
              </w:rPr>
            </w:pPr>
            <w:r w:rsidRPr="002460E2">
              <w:rPr>
                <w:sz w:val="18"/>
                <w:szCs w:val="18"/>
                <w:lang w:val="en-US"/>
              </w:rPr>
              <w:t xml:space="preserve">(3) În cazul în care o acoperire eligibilă este un instrument-indice, instituțiile calculează sensibilitățile respectivei acoperiri eligibile la toți factorii de risc </w:t>
            </w:r>
            <w:r w:rsidRPr="002460E2">
              <w:rPr>
                <w:sz w:val="18"/>
                <w:szCs w:val="18"/>
                <w:lang w:val="en-US"/>
              </w:rPr>
              <w:lastRenderedPageBreak/>
              <w:t>relevanți prin aplicarea variației unuia dintre factorii de risc relevanți fiecăreia dintre componentele indicelui.</w:t>
            </w:r>
          </w:p>
        </w:tc>
        <w:tc>
          <w:tcPr>
            <w:tcW w:w="3685" w:type="dxa"/>
            <w:shd w:val="clear" w:color="auto" w:fill="auto"/>
          </w:tcPr>
          <w:p w14:paraId="2BFCB1A3" w14:textId="570B1BAF" w:rsidR="008D7F28" w:rsidRPr="002460E2" w:rsidRDefault="00C8547D" w:rsidP="008D7F28">
            <w:pPr>
              <w:tabs>
                <w:tab w:val="left" w:pos="551"/>
              </w:tabs>
              <w:autoSpaceDE w:val="0"/>
              <w:autoSpaceDN w:val="0"/>
              <w:adjustRightInd w:val="0"/>
              <w:spacing w:before="60" w:after="60"/>
              <w:jc w:val="both"/>
              <w:rPr>
                <w:sz w:val="18"/>
                <w:szCs w:val="18"/>
                <w:lang w:val="ro-MD"/>
              </w:rPr>
            </w:pPr>
            <w:r w:rsidRPr="00C8547D">
              <w:rPr>
                <w:sz w:val="18"/>
                <w:szCs w:val="18"/>
                <w:lang w:val="ro-MD"/>
              </w:rPr>
              <w:lastRenderedPageBreak/>
              <w:t xml:space="preserve">32. În cazul în care o acoperire eligibilă este un instrument-indice, băncile calculează sensibilitățile respectivei acoperiri eligibile la toți factorii de risc relevanți prin aplicarea </w:t>
            </w:r>
            <w:r w:rsidRPr="00C8547D">
              <w:rPr>
                <w:sz w:val="18"/>
                <w:szCs w:val="18"/>
                <w:lang w:val="ro-MD"/>
              </w:rPr>
              <w:lastRenderedPageBreak/>
              <w:t>variației unuia dintre factorii de risc relevanți fiecăreia dintre componentele indicelui.</w:t>
            </w:r>
          </w:p>
        </w:tc>
        <w:tc>
          <w:tcPr>
            <w:tcW w:w="1229" w:type="dxa"/>
          </w:tcPr>
          <w:p w14:paraId="183795B4" w14:textId="33E33F52"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18453B77" w14:textId="77777777" w:rsidR="008D7F28" w:rsidRPr="002460E2" w:rsidRDefault="008D7F28" w:rsidP="008D7F28">
            <w:pPr>
              <w:jc w:val="both"/>
              <w:rPr>
                <w:sz w:val="18"/>
                <w:szCs w:val="18"/>
                <w:lang w:val="ro-MD"/>
              </w:rPr>
            </w:pPr>
          </w:p>
        </w:tc>
      </w:tr>
      <w:tr w:rsidR="008D7F28" w:rsidRPr="002460E2" w14:paraId="7FF96E69" w14:textId="77777777" w:rsidTr="003F5B3C">
        <w:trPr>
          <w:trHeight w:val="918"/>
        </w:trPr>
        <w:tc>
          <w:tcPr>
            <w:tcW w:w="4253" w:type="dxa"/>
          </w:tcPr>
          <w:p w14:paraId="450C1151" w14:textId="499F25F6" w:rsidR="008D7F28" w:rsidRPr="002460E2" w:rsidRDefault="008D7F28" w:rsidP="008D7F28">
            <w:pPr>
              <w:rPr>
                <w:sz w:val="18"/>
                <w:szCs w:val="18"/>
                <w:lang w:val="en-US"/>
              </w:rPr>
            </w:pPr>
            <w:r w:rsidRPr="002460E2">
              <w:rPr>
                <w:sz w:val="18"/>
                <w:szCs w:val="18"/>
                <w:lang w:val="en-US"/>
              </w:rPr>
              <w:t>(4) O instituție poate introduce factori de risc suplimentari care să corespundă instrumentelor bazate pe indici calificați pentru următoarele clase de risc:</w:t>
            </w:r>
          </w:p>
          <w:p w14:paraId="75D94EB8" w14:textId="79801B04" w:rsidR="008D7F28" w:rsidRPr="002460E2" w:rsidRDefault="008D7F28" w:rsidP="008D7F28">
            <w:pPr>
              <w:rPr>
                <w:sz w:val="18"/>
                <w:szCs w:val="18"/>
                <w:lang w:val="en-US"/>
              </w:rPr>
            </w:pPr>
            <w:r w:rsidRPr="002460E2">
              <w:rPr>
                <w:sz w:val="18"/>
                <w:szCs w:val="18"/>
                <w:lang w:val="en-US"/>
              </w:rPr>
              <w:t>(a) riscul de marjă de credit al contrapărții;</w:t>
            </w:r>
          </w:p>
          <w:p w14:paraId="2470DE86" w14:textId="429961B0" w:rsidR="008D7F28" w:rsidRPr="002460E2" w:rsidRDefault="008D7F28" w:rsidP="008D7F28">
            <w:pPr>
              <w:rPr>
                <w:sz w:val="18"/>
                <w:szCs w:val="18"/>
                <w:lang w:val="en-US"/>
              </w:rPr>
            </w:pPr>
            <w:r w:rsidRPr="002460E2">
              <w:rPr>
                <w:sz w:val="18"/>
                <w:szCs w:val="18"/>
                <w:lang w:val="en-US"/>
              </w:rPr>
              <w:t>(b) riscul de marjă de credit de referință; și</w:t>
            </w:r>
          </w:p>
          <w:p w14:paraId="6B9C27BD" w14:textId="114572E2" w:rsidR="008D7F28" w:rsidRPr="002460E2" w:rsidRDefault="008D7F28" w:rsidP="008D7F28">
            <w:pPr>
              <w:rPr>
                <w:sz w:val="18"/>
                <w:szCs w:val="18"/>
                <w:lang w:val="en-US"/>
              </w:rPr>
            </w:pPr>
            <w:r w:rsidRPr="002460E2">
              <w:rPr>
                <w:sz w:val="18"/>
                <w:szCs w:val="18"/>
                <w:lang w:val="en-US"/>
              </w:rPr>
              <w:t>(c) riscul de devalorizare a titlurilor de capital.</w:t>
            </w:r>
          </w:p>
          <w:p w14:paraId="60AD5B78" w14:textId="77777777" w:rsidR="008D7F28" w:rsidRPr="002460E2" w:rsidRDefault="008D7F28" w:rsidP="008D7F28">
            <w:pPr>
              <w:rPr>
                <w:sz w:val="18"/>
                <w:szCs w:val="18"/>
                <w:lang w:val="en-US"/>
              </w:rPr>
            </w:pPr>
            <w:r w:rsidRPr="002460E2">
              <w:rPr>
                <w:sz w:val="18"/>
                <w:szCs w:val="18"/>
                <w:lang w:val="en-US"/>
              </w:rPr>
              <w:t>În ceea ce privește riscurile delta, un instrument-indice este considerat calificat dacă acesta îndeplinește condițiile prevăzute la articolul 325i. În ceea ce privește riscurile vega, toate instrumentele-indice sunt considerate calificate.</w:t>
            </w:r>
          </w:p>
          <w:p w14:paraId="759AF451" w14:textId="77777777" w:rsidR="008D7F28" w:rsidRPr="002460E2" w:rsidRDefault="008D7F28" w:rsidP="008D7F28">
            <w:pPr>
              <w:rPr>
                <w:sz w:val="18"/>
                <w:szCs w:val="18"/>
                <w:lang w:val="en-US"/>
              </w:rPr>
            </w:pPr>
            <w:r w:rsidRPr="002460E2">
              <w:rPr>
                <w:sz w:val="18"/>
                <w:szCs w:val="18"/>
                <w:lang w:val="en-US"/>
              </w:rPr>
              <w:t>O instituție calculează sensibilitățile CVA și ale acoperirilor eligibile la factorii de risc ai unor indici calificați în plus față de sensibilitățile la factorii de risc de tip non-index.</w:t>
            </w:r>
          </w:p>
          <w:p w14:paraId="6DD5569E" w14:textId="0B85A06B" w:rsidR="008D7F28" w:rsidRPr="002460E2" w:rsidRDefault="008D7F28" w:rsidP="008D7F28">
            <w:pPr>
              <w:rPr>
                <w:sz w:val="18"/>
                <w:szCs w:val="18"/>
                <w:lang w:val="en-US"/>
              </w:rPr>
            </w:pPr>
            <w:r w:rsidRPr="002460E2">
              <w:rPr>
                <w:sz w:val="18"/>
                <w:szCs w:val="18"/>
                <w:lang w:val="en-US"/>
              </w:rPr>
              <w:t>O instituție calculează sensibilitățile la riscurile delta și vega la un factor de risc al unui indice calificat ca sensibilitate unică la indicele calificat suport. În cazul în care 75 % din componentele unui indice calificat sunt puse în corespondență cu același sector, astfel cum se prevede la articolele 383p, 383s și 383v, instituția pune în corespondență indicele calificat cu sectorul respectiv. În celelalte cazuri, instituția pune în corespondență sensibilitatea cu banda relevantă a indicelui calificat.</w:t>
            </w:r>
          </w:p>
        </w:tc>
        <w:tc>
          <w:tcPr>
            <w:tcW w:w="3685" w:type="dxa"/>
            <w:shd w:val="clear" w:color="auto" w:fill="auto"/>
          </w:tcPr>
          <w:p w14:paraId="7F588134"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33. Banca poate introduce factori de risc suplimentari care să corespundă instrumentelor bazate pe indici calificați pentru următoarele clase de risc:</w:t>
            </w:r>
          </w:p>
          <w:p w14:paraId="0161A28D"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33.1. riscul de marjă de credit al contrapărții;</w:t>
            </w:r>
          </w:p>
          <w:p w14:paraId="19A5BC0A"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33.2. riscul de marjă de credit de referință; și</w:t>
            </w:r>
          </w:p>
          <w:p w14:paraId="062B83AF"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33.3. riscul de devalorizare a titlurilor de capital.</w:t>
            </w:r>
          </w:p>
          <w:p w14:paraId="4E678A75"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34. În ceea ce privește riscurile delta, un instrument-indice este considerat calificat dacă acesta îndeplinește condițiile prevăzute în reglementările aferente tratamentului riscului de piaţă potrivit abordării standardizate. În ceea ce privește riscurile vega, toate instrumentele-indice sunt considerate calificate.</w:t>
            </w:r>
          </w:p>
          <w:p w14:paraId="75377D56" w14:textId="77777777" w:rsidR="00C8547D" w:rsidRPr="002460E2" w:rsidRDefault="00C8547D" w:rsidP="00C8547D">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35. Banca calculează sensibilitățile CVA și ale acoperirilor eligibile la factorii de risc ai unor indici calificați în plus față de sensibilitățile la factorii de risc de tip non-index.</w:t>
            </w:r>
          </w:p>
          <w:p w14:paraId="2C68D14D" w14:textId="6CD031B1" w:rsidR="008D7F28" w:rsidRPr="002460E2" w:rsidRDefault="00C8547D" w:rsidP="00C8547D">
            <w:pPr>
              <w:pStyle w:val="NoSpacing"/>
              <w:tabs>
                <w:tab w:val="left" w:pos="328"/>
              </w:tabs>
              <w:jc w:val="both"/>
              <w:rPr>
                <w:rFonts w:ascii="Times New Roman" w:hAnsi="Times New Roman" w:cs="Times New Roman"/>
                <w:b/>
                <w:bCs/>
                <w:sz w:val="18"/>
                <w:szCs w:val="18"/>
                <w:lang w:val="ro-MD"/>
              </w:rPr>
            </w:pPr>
            <w:r w:rsidRPr="002460E2">
              <w:rPr>
                <w:rFonts w:ascii="Times New Roman" w:hAnsi="Times New Roman" w:cs="Times New Roman"/>
                <w:sz w:val="18"/>
                <w:szCs w:val="18"/>
                <w:lang w:val="ro-MD"/>
              </w:rPr>
              <w:t>36. Banca calculează sensibilitățile la riscurile delta și vega la un factor de risc al unui indice calificat ca sensibilitate unică la indicele calificat suport. În cazul în care 75 % din componentele unui indice calificat sunt puse în corespondență cu același sector, astfel cum se prevede la punctele 85-89, 93-98 și 103-107, banca pune în corespondență indicele calificat cu sectorul respectiv. În celelalte cazuri, banca pune în corespondență sensibilitatea cu banda relevantă a indicelui calificat.</w:t>
            </w:r>
          </w:p>
        </w:tc>
        <w:tc>
          <w:tcPr>
            <w:tcW w:w="1229" w:type="dxa"/>
          </w:tcPr>
          <w:p w14:paraId="4C325203" w14:textId="2E23D14E"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0E962E71" w14:textId="667AACA5" w:rsidR="008D7F28" w:rsidRPr="002460E2" w:rsidRDefault="008D7F28" w:rsidP="008D7F28">
            <w:pPr>
              <w:rPr>
                <w:sz w:val="18"/>
                <w:szCs w:val="18"/>
                <w:lang w:val="ro-MD"/>
              </w:rPr>
            </w:pPr>
          </w:p>
        </w:tc>
      </w:tr>
      <w:tr w:rsidR="008D7F28" w:rsidRPr="002460E2" w14:paraId="25DD5FF7" w14:textId="77777777" w:rsidTr="003F5B3C">
        <w:trPr>
          <w:trHeight w:val="918"/>
        </w:trPr>
        <w:tc>
          <w:tcPr>
            <w:tcW w:w="4253" w:type="dxa"/>
          </w:tcPr>
          <w:p w14:paraId="737A837C" w14:textId="7C80A80C" w:rsidR="008D7F28" w:rsidRPr="002460E2" w:rsidRDefault="008D7F28" w:rsidP="008D7F28">
            <w:pPr>
              <w:rPr>
                <w:sz w:val="18"/>
                <w:szCs w:val="18"/>
                <w:lang w:val="en-US"/>
              </w:rPr>
            </w:pPr>
            <w:r w:rsidRPr="002460E2">
              <w:rPr>
                <w:sz w:val="18"/>
                <w:szCs w:val="18"/>
                <w:lang w:val="en-US"/>
              </w:rPr>
              <w:t xml:space="preserve">(5) Sensibilitățile ponderate ale CVA agregată și ale valorii de piață a tuturor acoperirilor eligibile pentru fiecare factor de risc se calculează înmulțind sensibilitățile nete respective cu ponderea de risc </w:t>
            </w:r>
            <w:r w:rsidRPr="002460E2">
              <w:rPr>
                <w:sz w:val="18"/>
                <w:szCs w:val="18"/>
                <w:lang w:val="en-US"/>
              </w:rPr>
              <w:lastRenderedPageBreak/>
              <w:t>corespunzătoare, în conformitate cu următoarele formule:</w:t>
            </w:r>
          </w:p>
          <w:p w14:paraId="130B7F0F" w14:textId="77777777" w:rsidR="008D7F28" w:rsidRPr="002460E2" w:rsidRDefault="008D7F28" w:rsidP="008D7F28">
            <w:pPr>
              <w:pStyle w:val="title-article-norm"/>
              <w:rPr>
                <w:i w:val="0"/>
                <w:sz w:val="18"/>
                <w:szCs w:val="18"/>
                <w:lang w:val="ro-MD"/>
              </w:rPr>
            </w:pPr>
            <w:r w:rsidRPr="002460E2">
              <w:rPr>
                <w:noProof/>
                <w:sz w:val="18"/>
                <w:szCs w:val="18"/>
              </w:rPr>
              <w:drawing>
                <wp:inline distT="0" distB="0" distL="0" distR="0" wp14:anchorId="48BFAE96" wp14:editId="7AA8F067">
                  <wp:extent cx="839244" cy="135413"/>
                  <wp:effectExtent l="0" t="0" r="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020" cy="142476"/>
                          </a:xfrm>
                          <a:prstGeom prst="rect">
                            <a:avLst/>
                          </a:prstGeom>
                          <a:noFill/>
                          <a:ln>
                            <a:noFill/>
                          </a:ln>
                        </pic:spPr>
                      </pic:pic>
                    </a:graphicData>
                  </a:graphic>
                </wp:inline>
              </w:drawing>
            </w:r>
          </w:p>
          <w:p w14:paraId="26854E21" w14:textId="77777777" w:rsidR="008D7F28" w:rsidRPr="002460E2" w:rsidRDefault="008D7F28" w:rsidP="008D7F28">
            <w:pPr>
              <w:pStyle w:val="title-article-norm"/>
              <w:rPr>
                <w:i w:val="0"/>
                <w:sz w:val="18"/>
                <w:szCs w:val="18"/>
                <w:lang w:val="ro-MD"/>
              </w:rPr>
            </w:pPr>
            <w:r w:rsidRPr="002460E2">
              <w:rPr>
                <w:noProof/>
                <w:sz w:val="18"/>
                <w:szCs w:val="18"/>
              </w:rPr>
              <w:drawing>
                <wp:inline distT="0" distB="0" distL="0" distR="0" wp14:anchorId="600C14CA" wp14:editId="40FB1031">
                  <wp:extent cx="1490598" cy="165495"/>
                  <wp:effectExtent l="0" t="0" r="0" b="635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599" cy="176709"/>
                          </a:xfrm>
                          <a:prstGeom prst="rect">
                            <a:avLst/>
                          </a:prstGeom>
                          <a:noFill/>
                          <a:ln>
                            <a:noFill/>
                          </a:ln>
                        </pic:spPr>
                      </pic:pic>
                    </a:graphicData>
                  </a:graphic>
                </wp:inline>
              </w:drawing>
            </w:r>
          </w:p>
          <w:p w14:paraId="7A232D93"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110"/>
              <w:gridCol w:w="3927"/>
            </w:tblGrid>
            <w:tr w:rsidR="008D7F28" w:rsidRPr="002460E2" w14:paraId="74814D75" w14:textId="77777777" w:rsidTr="005E4B33">
              <w:tc>
                <w:tcPr>
                  <w:tcW w:w="229" w:type="dxa"/>
                  <w:shd w:val="clear" w:color="auto" w:fill="auto"/>
                  <w:hideMark/>
                </w:tcPr>
                <w:p w14:paraId="32985717" w14:textId="77777777" w:rsidR="008D7F28" w:rsidRPr="002460E2" w:rsidRDefault="008D7F28" w:rsidP="008D7F28">
                  <w:pPr>
                    <w:rPr>
                      <w:sz w:val="18"/>
                      <w:szCs w:val="18"/>
                    </w:rPr>
                  </w:pPr>
                  <w:r w:rsidRPr="002460E2">
                    <w:rPr>
                      <w:i/>
                      <w:iCs/>
                      <w:sz w:val="18"/>
                      <w:szCs w:val="18"/>
                    </w:rPr>
                    <w:t>k</w:t>
                  </w:r>
                </w:p>
              </w:tc>
              <w:tc>
                <w:tcPr>
                  <w:tcW w:w="9126" w:type="dxa"/>
                  <w:shd w:val="clear" w:color="auto" w:fill="auto"/>
                  <w:hideMark/>
                </w:tcPr>
                <w:p w14:paraId="1951DC68" w14:textId="77777777" w:rsidR="008D7F28" w:rsidRPr="002460E2" w:rsidRDefault="008D7F28" w:rsidP="008D7F28">
                  <w:pPr>
                    <w:rPr>
                      <w:sz w:val="18"/>
                      <w:szCs w:val="18"/>
                      <w:lang w:val="en-US"/>
                    </w:rPr>
                  </w:pPr>
                  <w:r w:rsidRPr="002460E2">
                    <w:rPr>
                      <w:sz w:val="18"/>
                      <w:szCs w:val="18"/>
                      <w:lang w:val="en-US"/>
                    </w:rPr>
                    <w:t>= indicele care desemnează factorul de risc k;</w:t>
                  </w:r>
                </w:p>
              </w:tc>
            </w:tr>
          </w:tbl>
          <w:p w14:paraId="1F856CE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598"/>
              <w:gridCol w:w="3439"/>
            </w:tblGrid>
            <w:tr w:rsidR="008D7F28" w:rsidRPr="002460E2" w14:paraId="7EB47DA7" w14:textId="77777777" w:rsidTr="005E4B33">
              <w:tc>
                <w:tcPr>
                  <w:tcW w:w="1367" w:type="dxa"/>
                  <w:shd w:val="clear" w:color="auto" w:fill="auto"/>
                  <w:hideMark/>
                </w:tcPr>
                <w:p w14:paraId="5CAEB274" w14:textId="77777777" w:rsidR="008D7F28" w:rsidRPr="002460E2" w:rsidRDefault="008D7F28" w:rsidP="008D7F28">
                  <w:pPr>
                    <w:rPr>
                      <w:sz w:val="18"/>
                      <w:szCs w:val="18"/>
                    </w:rPr>
                  </w:pPr>
                  <w:r w:rsidRPr="002460E2">
                    <w:rPr>
                      <w:noProof/>
                      <w:sz w:val="18"/>
                      <w:szCs w:val="18"/>
                    </w:rPr>
                    <w:drawing>
                      <wp:inline distT="0" distB="0" distL="0" distR="0" wp14:anchorId="61258F96" wp14:editId="37A97824">
                        <wp:extent cx="324121" cy="150312"/>
                        <wp:effectExtent l="0" t="0" r="0" b="254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29" cy="159266"/>
                                </a:xfrm>
                                <a:prstGeom prst="rect">
                                  <a:avLst/>
                                </a:prstGeom>
                                <a:noFill/>
                                <a:ln>
                                  <a:noFill/>
                                </a:ln>
                              </pic:spPr>
                            </pic:pic>
                          </a:graphicData>
                        </a:graphic>
                      </wp:inline>
                    </w:drawing>
                  </w:r>
                </w:p>
              </w:tc>
              <w:tc>
                <w:tcPr>
                  <w:tcW w:w="7988" w:type="dxa"/>
                  <w:shd w:val="clear" w:color="auto" w:fill="auto"/>
                  <w:hideMark/>
                </w:tcPr>
                <w:p w14:paraId="3500E741" w14:textId="77777777" w:rsidR="008D7F28" w:rsidRPr="002460E2" w:rsidRDefault="008D7F28" w:rsidP="008D7F28">
                  <w:pPr>
                    <w:rPr>
                      <w:sz w:val="18"/>
                      <w:szCs w:val="18"/>
                      <w:lang w:val="en-US"/>
                    </w:rPr>
                  </w:pPr>
                  <w:r w:rsidRPr="002460E2">
                    <w:rPr>
                      <w:sz w:val="18"/>
                      <w:szCs w:val="18"/>
                      <w:lang w:val="en-US"/>
                    </w:rPr>
                    <w:t>= sensibilitatea ponderată a CVA agregată la factorul de risc k;</w:t>
                  </w:r>
                </w:p>
              </w:tc>
            </w:tr>
          </w:tbl>
          <w:p w14:paraId="6D457616"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36"/>
              <w:gridCol w:w="3701"/>
            </w:tblGrid>
            <w:tr w:rsidR="008D7F28" w:rsidRPr="002460E2" w14:paraId="4F095770" w14:textId="77777777" w:rsidTr="005E4B33">
              <w:tc>
                <w:tcPr>
                  <w:tcW w:w="756" w:type="dxa"/>
                  <w:shd w:val="clear" w:color="auto" w:fill="auto"/>
                  <w:hideMark/>
                </w:tcPr>
                <w:p w14:paraId="1CD0251A" w14:textId="77777777" w:rsidR="008D7F28" w:rsidRPr="002460E2" w:rsidRDefault="008D7F28" w:rsidP="008D7F28">
                  <w:pPr>
                    <w:rPr>
                      <w:sz w:val="18"/>
                      <w:szCs w:val="18"/>
                    </w:rPr>
                  </w:pPr>
                  <w:r w:rsidRPr="002460E2">
                    <w:rPr>
                      <w:i/>
                      <w:iCs/>
                      <w:sz w:val="18"/>
                      <w:szCs w:val="18"/>
                    </w:rPr>
                    <w:t>RW</w:t>
                  </w:r>
                  <w:r w:rsidRPr="002460E2">
                    <w:rPr>
                      <w:i/>
                      <w:iCs/>
                      <w:sz w:val="18"/>
                      <w:szCs w:val="18"/>
                      <w:vertAlign w:val="subscript"/>
                    </w:rPr>
                    <w:t>k</w:t>
                  </w:r>
                </w:p>
              </w:tc>
              <w:tc>
                <w:tcPr>
                  <w:tcW w:w="8599" w:type="dxa"/>
                  <w:shd w:val="clear" w:color="auto" w:fill="auto"/>
                  <w:hideMark/>
                </w:tcPr>
                <w:p w14:paraId="782C1AB4" w14:textId="77777777" w:rsidR="008D7F28" w:rsidRPr="002460E2" w:rsidRDefault="008D7F28" w:rsidP="008D7F28">
                  <w:pPr>
                    <w:rPr>
                      <w:sz w:val="18"/>
                      <w:szCs w:val="18"/>
                      <w:lang w:val="en-US"/>
                    </w:rPr>
                  </w:pPr>
                  <w:r w:rsidRPr="002460E2">
                    <w:rPr>
                      <w:sz w:val="18"/>
                      <w:szCs w:val="18"/>
                      <w:lang w:val="en-US"/>
                    </w:rPr>
                    <w:t>= ponderea de risc aplicabilă factorului de risc k;</w:t>
                  </w:r>
                </w:p>
              </w:tc>
            </w:tr>
          </w:tbl>
          <w:p w14:paraId="346C3AD5"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483"/>
              <w:gridCol w:w="3554"/>
            </w:tblGrid>
            <w:tr w:rsidR="008D7F28" w:rsidRPr="002460E2" w14:paraId="7FE59FEF" w14:textId="77777777" w:rsidTr="005E4B33">
              <w:tc>
                <w:tcPr>
                  <w:tcW w:w="1099" w:type="dxa"/>
                  <w:shd w:val="clear" w:color="auto" w:fill="auto"/>
                  <w:hideMark/>
                </w:tcPr>
                <w:p w14:paraId="3719BA5F" w14:textId="77777777" w:rsidR="008D7F28" w:rsidRPr="002460E2" w:rsidRDefault="008D7F28" w:rsidP="008D7F28">
                  <w:pPr>
                    <w:rPr>
                      <w:sz w:val="18"/>
                      <w:szCs w:val="18"/>
                    </w:rPr>
                  </w:pPr>
                  <w:r w:rsidRPr="002460E2">
                    <w:rPr>
                      <w:noProof/>
                      <w:sz w:val="18"/>
                      <w:szCs w:val="18"/>
                    </w:rPr>
                    <w:drawing>
                      <wp:inline distT="0" distB="0" distL="0" distR="0" wp14:anchorId="6ACD1324" wp14:editId="19ED80C5">
                        <wp:extent cx="253846" cy="169101"/>
                        <wp:effectExtent l="0" t="0" r="0" b="2540"/>
                        <wp:docPr id="82"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30" cy="194071"/>
                                </a:xfrm>
                                <a:prstGeom prst="rect">
                                  <a:avLst/>
                                </a:prstGeom>
                                <a:noFill/>
                                <a:ln>
                                  <a:noFill/>
                                </a:ln>
                              </pic:spPr>
                            </pic:pic>
                          </a:graphicData>
                        </a:graphic>
                      </wp:inline>
                    </w:drawing>
                  </w:r>
                </w:p>
              </w:tc>
              <w:tc>
                <w:tcPr>
                  <w:tcW w:w="8256" w:type="dxa"/>
                  <w:shd w:val="clear" w:color="auto" w:fill="auto"/>
                  <w:hideMark/>
                </w:tcPr>
                <w:p w14:paraId="710FA2CE" w14:textId="77777777" w:rsidR="008D7F28" w:rsidRPr="002460E2" w:rsidRDefault="008D7F28" w:rsidP="008D7F28">
                  <w:pPr>
                    <w:rPr>
                      <w:sz w:val="18"/>
                      <w:szCs w:val="18"/>
                      <w:lang w:val="en-US"/>
                    </w:rPr>
                  </w:pPr>
                  <w:r w:rsidRPr="002460E2">
                    <w:rPr>
                      <w:sz w:val="18"/>
                      <w:szCs w:val="18"/>
                      <w:lang w:val="en-US"/>
                    </w:rPr>
                    <w:t>= sensibilitatea netă a CVA agregată la factorul de risc k;</w:t>
                  </w:r>
                </w:p>
              </w:tc>
            </w:tr>
          </w:tbl>
          <w:p w14:paraId="273591A1" w14:textId="77777777" w:rsidR="008D7F28" w:rsidRPr="002460E2" w:rsidRDefault="008D7F28" w:rsidP="008D7F28">
            <w:pPr>
              <w:rPr>
                <w:vanish/>
                <w:sz w:val="18"/>
                <w:szCs w:val="18"/>
              </w:rPr>
            </w:pPr>
          </w:p>
          <w:tbl>
            <w:tblPr>
              <w:tblW w:w="3577" w:type="dxa"/>
              <w:tblLayout w:type="fixed"/>
              <w:tblCellMar>
                <w:left w:w="0" w:type="dxa"/>
                <w:right w:w="0" w:type="dxa"/>
              </w:tblCellMar>
              <w:tblLook w:val="04A0" w:firstRow="1" w:lastRow="0" w:firstColumn="1" w:lastColumn="0" w:noHBand="0" w:noVBand="1"/>
            </w:tblPr>
            <w:tblGrid>
              <w:gridCol w:w="233"/>
              <w:gridCol w:w="84"/>
              <w:gridCol w:w="3260"/>
            </w:tblGrid>
            <w:tr w:rsidR="008D7F28" w:rsidRPr="002460E2" w14:paraId="505FFB23" w14:textId="77777777" w:rsidTr="008A2D6D">
              <w:trPr>
                <w:trHeight w:val="561"/>
              </w:trPr>
              <w:tc>
                <w:tcPr>
                  <w:tcW w:w="233" w:type="dxa"/>
                  <w:shd w:val="clear" w:color="auto" w:fill="auto"/>
                  <w:hideMark/>
                </w:tcPr>
                <w:p w14:paraId="4D20A66D" w14:textId="77777777" w:rsidR="008D7F28" w:rsidRPr="002460E2" w:rsidRDefault="008D7F28" w:rsidP="008D7F28">
                  <w:pPr>
                    <w:rPr>
                      <w:sz w:val="18"/>
                      <w:szCs w:val="18"/>
                    </w:rPr>
                  </w:pPr>
                  <w:r w:rsidRPr="002460E2">
                    <w:rPr>
                      <w:noProof/>
                      <w:sz w:val="18"/>
                      <w:szCs w:val="18"/>
                    </w:rPr>
                    <w:drawing>
                      <wp:inline distT="0" distB="0" distL="0" distR="0" wp14:anchorId="158DF46E" wp14:editId="509D032C">
                        <wp:extent cx="437798" cy="181628"/>
                        <wp:effectExtent l="0" t="0" r="635" b="889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27" cy="201263"/>
                                </a:xfrm>
                                <a:prstGeom prst="rect">
                                  <a:avLst/>
                                </a:prstGeom>
                                <a:noFill/>
                                <a:ln>
                                  <a:noFill/>
                                </a:ln>
                              </pic:spPr>
                            </pic:pic>
                          </a:graphicData>
                        </a:graphic>
                      </wp:inline>
                    </w:drawing>
                  </w:r>
                </w:p>
              </w:tc>
              <w:tc>
                <w:tcPr>
                  <w:tcW w:w="84" w:type="dxa"/>
                </w:tcPr>
                <w:p w14:paraId="60B28140" w14:textId="77777777" w:rsidR="008D7F28" w:rsidRPr="002460E2" w:rsidRDefault="008D7F28" w:rsidP="008D7F28">
                  <w:pPr>
                    <w:rPr>
                      <w:sz w:val="18"/>
                      <w:szCs w:val="18"/>
                      <w:lang w:val="en-US"/>
                    </w:rPr>
                  </w:pPr>
                </w:p>
              </w:tc>
              <w:tc>
                <w:tcPr>
                  <w:tcW w:w="3260" w:type="dxa"/>
                  <w:shd w:val="clear" w:color="auto" w:fill="auto"/>
                  <w:hideMark/>
                </w:tcPr>
                <w:p w14:paraId="789D94BC" w14:textId="2A0D70F0" w:rsidR="008D7F28" w:rsidRPr="002460E2" w:rsidRDefault="008D7F28" w:rsidP="008D7F28">
                  <w:pPr>
                    <w:rPr>
                      <w:sz w:val="18"/>
                      <w:szCs w:val="18"/>
                      <w:lang w:val="en-US"/>
                    </w:rPr>
                  </w:pPr>
                  <w:r w:rsidRPr="002460E2">
                    <w:rPr>
                      <w:sz w:val="18"/>
                      <w:szCs w:val="18"/>
                      <w:lang w:val="en-US"/>
                    </w:rPr>
                    <w:t>= sensibilitatea ponderată a valorii de piață a tuturor acoperirilor eligibile din portofoliul CVA la factorul de risc k;</w:t>
                  </w:r>
                </w:p>
              </w:tc>
            </w:tr>
          </w:tbl>
          <w:p w14:paraId="0D325DE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539"/>
              <w:gridCol w:w="3498"/>
            </w:tblGrid>
            <w:tr w:rsidR="008D7F28" w:rsidRPr="002460E2" w14:paraId="58EEEDCC" w14:textId="77777777" w:rsidTr="005E4B33">
              <w:tc>
                <w:tcPr>
                  <w:tcW w:w="1230" w:type="dxa"/>
                  <w:shd w:val="clear" w:color="auto" w:fill="auto"/>
                  <w:hideMark/>
                </w:tcPr>
                <w:p w14:paraId="60487DB8" w14:textId="77777777" w:rsidR="008D7F28" w:rsidRPr="002460E2" w:rsidRDefault="008D7F28" w:rsidP="008D7F28">
                  <w:pPr>
                    <w:rPr>
                      <w:sz w:val="18"/>
                      <w:szCs w:val="18"/>
                    </w:rPr>
                  </w:pPr>
                  <w:r w:rsidRPr="002460E2">
                    <w:rPr>
                      <w:noProof/>
                      <w:sz w:val="18"/>
                      <w:szCs w:val="18"/>
                    </w:rPr>
                    <w:drawing>
                      <wp:inline distT="0" distB="0" distL="0" distR="0" wp14:anchorId="11D6C401" wp14:editId="1F755AC0">
                        <wp:extent cx="281288" cy="150312"/>
                        <wp:effectExtent l="0" t="0" r="5080" b="2540"/>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11" cy="163470"/>
                                </a:xfrm>
                                <a:prstGeom prst="rect">
                                  <a:avLst/>
                                </a:prstGeom>
                                <a:noFill/>
                                <a:ln>
                                  <a:noFill/>
                                </a:ln>
                              </pic:spPr>
                            </pic:pic>
                          </a:graphicData>
                        </a:graphic>
                      </wp:inline>
                    </w:drawing>
                  </w:r>
                </w:p>
              </w:tc>
              <w:tc>
                <w:tcPr>
                  <w:tcW w:w="8125" w:type="dxa"/>
                  <w:shd w:val="clear" w:color="auto" w:fill="auto"/>
                  <w:hideMark/>
                </w:tcPr>
                <w:p w14:paraId="580BD4C8" w14:textId="77777777" w:rsidR="008D7F28" w:rsidRPr="002460E2" w:rsidRDefault="008D7F28" w:rsidP="008D7F28">
                  <w:pPr>
                    <w:rPr>
                      <w:sz w:val="18"/>
                      <w:szCs w:val="18"/>
                      <w:lang w:val="en-US"/>
                    </w:rPr>
                  </w:pPr>
                  <w:r w:rsidRPr="002460E2">
                    <w:rPr>
                      <w:sz w:val="18"/>
                      <w:szCs w:val="18"/>
                      <w:lang w:val="en-US"/>
                    </w:rPr>
                    <w:t>= sensibilitatea netă a valorii de piață a tuturor acoperirilor eligibile din portofoliul CVA la factorul de risc k.</w:t>
                  </w:r>
                </w:p>
              </w:tc>
            </w:tr>
          </w:tbl>
          <w:p w14:paraId="4BB86B94" w14:textId="62A7F26C" w:rsidR="008D7F28" w:rsidRPr="002460E2" w:rsidRDefault="008D7F28" w:rsidP="008D7F28">
            <w:pPr>
              <w:pStyle w:val="title-article-norm"/>
              <w:jc w:val="both"/>
              <w:rPr>
                <w:i w:val="0"/>
                <w:sz w:val="18"/>
                <w:szCs w:val="18"/>
              </w:rPr>
            </w:pPr>
          </w:p>
        </w:tc>
        <w:tc>
          <w:tcPr>
            <w:tcW w:w="3685" w:type="dxa"/>
            <w:shd w:val="clear" w:color="auto" w:fill="auto"/>
          </w:tcPr>
          <w:p w14:paraId="74CF7E64" w14:textId="08B2D13C"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lastRenderedPageBreak/>
              <w:t>3</w:t>
            </w:r>
            <w:r w:rsidR="00C8547D" w:rsidRPr="002460E2">
              <w:rPr>
                <w:rFonts w:ascii="Times New Roman" w:hAnsi="Times New Roman" w:cs="Times New Roman"/>
                <w:sz w:val="18"/>
                <w:szCs w:val="18"/>
                <w:lang w:val="ro-MD"/>
              </w:rPr>
              <w:t>7</w:t>
            </w:r>
            <w:r w:rsidRPr="002460E2">
              <w:rPr>
                <w:rFonts w:ascii="Times New Roman" w:hAnsi="Times New Roman" w:cs="Times New Roman"/>
                <w:sz w:val="18"/>
                <w:szCs w:val="18"/>
                <w:lang w:val="ro-MD"/>
              </w:rPr>
              <w:t xml:space="preserve">. Sensibilitățile ponderate ale CVA agregată și ale valorii de piață a tuturor acoperirilor eligibile pentru fiecare factor de risc se calculează înmulțind sensibilitățile nete </w:t>
            </w:r>
            <w:r w:rsidRPr="002460E2">
              <w:rPr>
                <w:rFonts w:ascii="Times New Roman" w:hAnsi="Times New Roman" w:cs="Times New Roman"/>
                <w:sz w:val="18"/>
                <w:szCs w:val="18"/>
                <w:lang w:val="ro-MD"/>
              </w:rPr>
              <w:lastRenderedPageBreak/>
              <w:t>respective cu ponderea de risc corespunzătoare, în conformitate cu următoarele formule:</w:t>
            </w:r>
          </w:p>
          <w:p w14:paraId="5730B7F7"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01812A27" wp14:editId="31D02A24">
                  <wp:extent cx="1948092" cy="314325"/>
                  <wp:effectExtent l="0" t="0" r="0" b="0"/>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789" cy="314760"/>
                          </a:xfrm>
                          <a:prstGeom prst="rect">
                            <a:avLst/>
                          </a:prstGeom>
                          <a:noFill/>
                          <a:ln>
                            <a:noFill/>
                          </a:ln>
                        </pic:spPr>
                      </pic:pic>
                    </a:graphicData>
                  </a:graphic>
                </wp:inline>
              </w:drawing>
            </w:r>
          </w:p>
          <w:p w14:paraId="030E5F78" w14:textId="77777777" w:rsidR="00AC5276" w:rsidRPr="002460E2" w:rsidRDefault="00AC5276" w:rsidP="00AC5276">
            <w:pPr>
              <w:pStyle w:val="NoSpacing"/>
              <w:tabs>
                <w:tab w:val="left" w:pos="328"/>
              </w:tabs>
              <w:rPr>
                <w:rFonts w:ascii="Times New Roman" w:hAnsi="Times New Roman" w:cs="Times New Roman"/>
                <w:sz w:val="18"/>
                <w:szCs w:val="18"/>
                <w:lang w:val="ro-MD"/>
              </w:rPr>
            </w:pPr>
          </w:p>
          <w:p w14:paraId="59711ED0"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0FBC9DF7" wp14:editId="4EF1B9A6">
                  <wp:extent cx="2167651" cy="240665"/>
                  <wp:effectExtent l="0" t="0" r="4445" b="6985"/>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230" cy="246392"/>
                          </a:xfrm>
                          <a:prstGeom prst="rect">
                            <a:avLst/>
                          </a:prstGeom>
                          <a:noFill/>
                          <a:ln>
                            <a:noFill/>
                          </a:ln>
                        </pic:spPr>
                      </pic:pic>
                    </a:graphicData>
                  </a:graphic>
                </wp:inline>
              </w:drawing>
            </w:r>
          </w:p>
          <w:p w14:paraId="63B7EF73" w14:textId="77777777" w:rsidR="00AC5276" w:rsidRPr="002460E2" w:rsidRDefault="00AC5276" w:rsidP="00AC5276">
            <w:pPr>
              <w:pStyle w:val="NoSpacing"/>
              <w:tabs>
                <w:tab w:val="left" w:pos="328"/>
              </w:tabs>
              <w:rPr>
                <w:rFonts w:ascii="Times New Roman" w:hAnsi="Times New Roman" w:cs="Times New Roman"/>
                <w:sz w:val="18"/>
                <w:szCs w:val="18"/>
                <w:lang w:val="ro-MD"/>
              </w:rPr>
            </w:pPr>
          </w:p>
          <w:p w14:paraId="2269F01C"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unde:</w:t>
            </w:r>
          </w:p>
          <w:tbl>
            <w:tblPr>
              <w:tblW w:w="3785" w:type="dxa"/>
              <w:tblLayout w:type="fixed"/>
              <w:tblCellMar>
                <w:left w:w="0" w:type="dxa"/>
                <w:right w:w="0" w:type="dxa"/>
              </w:tblCellMar>
              <w:tblLook w:val="04A0" w:firstRow="1" w:lastRow="0" w:firstColumn="1" w:lastColumn="0" w:noHBand="0" w:noVBand="1"/>
            </w:tblPr>
            <w:tblGrid>
              <w:gridCol w:w="88"/>
              <w:gridCol w:w="3697"/>
            </w:tblGrid>
            <w:tr w:rsidR="00AC5276" w:rsidRPr="002460E2" w14:paraId="2C038AF7" w14:textId="77777777" w:rsidTr="00AC5276">
              <w:trPr>
                <w:trHeight w:val="174"/>
              </w:trPr>
              <w:tc>
                <w:tcPr>
                  <w:tcW w:w="88" w:type="dxa"/>
                  <w:shd w:val="clear" w:color="auto" w:fill="auto"/>
                  <w:hideMark/>
                </w:tcPr>
                <w:p w14:paraId="552D3A23" w14:textId="676F32C0" w:rsidR="00AC5276" w:rsidRPr="002460E2" w:rsidRDefault="00AC5276" w:rsidP="00AC5276">
                  <w:pPr>
                    <w:pStyle w:val="NoSpacing"/>
                    <w:tabs>
                      <w:tab w:val="left" w:pos="328"/>
                    </w:tabs>
                    <w:rPr>
                      <w:rFonts w:ascii="Times New Roman" w:hAnsi="Times New Roman" w:cs="Times New Roman"/>
                      <w:sz w:val="18"/>
                      <w:szCs w:val="18"/>
                      <w:lang w:val="ro-MD"/>
                    </w:rPr>
                  </w:pPr>
                </w:p>
              </w:tc>
              <w:tc>
                <w:tcPr>
                  <w:tcW w:w="3697" w:type="dxa"/>
                  <w:shd w:val="clear" w:color="auto" w:fill="auto"/>
                  <w:hideMark/>
                </w:tcPr>
                <w:p w14:paraId="431C33FF"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xml:space="preserve">  k      = indicele care desemnează factorul de risc k;</w:t>
                  </w:r>
                </w:p>
              </w:tc>
            </w:tr>
          </w:tbl>
          <w:p w14:paraId="1EF6EA98" w14:textId="77777777" w:rsidR="00AC5276" w:rsidRPr="002460E2" w:rsidRDefault="00AC5276" w:rsidP="00AC5276">
            <w:pPr>
              <w:pStyle w:val="NoSpacing"/>
              <w:tabs>
                <w:tab w:val="left" w:pos="328"/>
              </w:tabs>
              <w:rPr>
                <w:rFonts w:ascii="Times New Roman" w:hAnsi="Times New Roman" w:cs="Times New Roman"/>
                <w:vanish/>
                <w:sz w:val="18"/>
                <w:szCs w:val="18"/>
                <w:lang w:val="ro-MD"/>
              </w:rPr>
            </w:pPr>
          </w:p>
          <w:tbl>
            <w:tblPr>
              <w:tblW w:w="3440" w:type="dxa"/>
              <w:tblLayout w:type="fixed"/>
              <w:tblCellMar>
                <w:left w:w="0" w:type="dxa"/>
                <w:right w:w="0" w:type="dxa"/>
              </w:tblCellMar>
              <w:tblLook w:val="04A0" w:firstRow="1" w:lastRow="0" w:firstColumn="1" w:lastColumn="0" w:noHBand="0" w:noVBand="1"/>
            </w:tblPr>
            <w:tblGrid>
              <w:gridCol w:w="470"/>
              <w:gridCol w:w="2970"/>
            </w:tblGrid>
            <w:tr w:rsidR="00AC5276" w:rsidRPr="002460E2" w14:paraId="4A8890AE" w14:textId="77777777" w:rsidTr="00AC5276">
              <w:trPr>
                <w:trHeight w:val="388"/>
              </w:trPr>
              <w:tc>
                <w:tcPr>
                  <w:tcW w:w="470" w:type="dxa"/>
                  <w:shd w:val="clear" w:color="auto" w:fill="auto"/>
                  <w:hideMark/>
                </w:tcPr>
                <w:p w14:paraId="019279ED"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1D458C4C" wp14:editId="7F4915A4">
                        <wp:extent cx="371475" cy="172272"/>
                        <wp:effectExtent l="0" t="0" r="0"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414" cy="176881"/>
                                </a:xfrm>
                                <a:prstGeom prst="rect">
                                  <a:avLst/>
                                </a:prstGeom>
                                <a:noFill/>
                                <a:ln>
                                  <a:noFill/>
                                </a:ln>
                              </pic:spPr>
                            </pic:pic>
                          </a:graphicData>
                        </a:graphic>
                      </wp:inline>
                    </w:drawing>
                  </w:r>
                </w:p>
              </w:tc>
              <w:tc>
                <w:tcPr>
                  <w:tcW w:w="2970" w:type="dxa"/>
                  <w:shd w:val="clear" w:color="auto" w:fill="auto"/>
                  <w:hideMark/>
                </w:tcPr>
                <w:p w14:paraId="6B5C2F1E"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sensibilitatea ponderată a CVA agregată la factorul de risc k;</w:t>
                  </w:r>
                </w:p>
              </w:tc>
            </w:tr>
          </w:tbl>
          <w:p w14:paraId="74232F1C" w14:textId="77777777" w:rsidR="00AC5276" w:rsidRPr="002460E2" w:rsidRDefault="00AC5276" w:rsidP="00AC5276">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294"/>
              <w:gridCol w:w="3175"/>
            </w:tblGrid>
            <w:tr w:rsidR="00AC5276" w:rsidRPr="002460E2" w14:paraId="2AD44F24" w14:textId="77777777" w:rsidTr="002620A5">
              <w:tc>
                <w:tcPr>
                  <w:tcW w:w="792" w:type="dxa"/>
                  <w:shd w:val="clear" w:color="auto" w:fill="auto"/>
                  <w:hideMark/>
                </w:tcPr>
                <w:p w14:paraId="04D34574"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i/>
                      <w:iCs/>
                      <w:sz w:val="18"/>
                      <w:szCs w:val="18"/>
                      <w:lang w:val="ro-MD"/>
                    </w:rPr>
                    <w:t>RW</w:t>
                  </w:r>
                  <w:r w:rsidRPr="002460E2">
                    <w:rPr>
                      <w:rFonts w:ascii="Times New Roman" w:hAnsi="Times New Roman" w:cs="Times New Roman"/>
                      <w:i/>
                      <w:iCs/>
                      <w:sz w:val="18"/>
                      <w:szCs w:val="18"/>
                      <w:vertAlign w:val="subscript"/>
                      <w:lang w:val="ro-MD"/>
                    </w:rPr>
                    <w:t>k</w:t>
                  </w:r>
                </w:p>
              </w:tc>
              <w:tc>
                <w:tcPr>
                  <w:tcW w:w="8896" w:type="dxa"/>
                  <w:shd w:val="clear" w:color="auto" w:fill="auto"/>
                  <w:hideMark/>
                </w:tcPr>
                <w:p w14:paraId="381C256B"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ponderea de risc aplicabilă factorului de risc k;</w:t>
                  </w:r>
                </w:p>
              </w:tc>
            </w:tr>
          </w:tbl>
          <w:p w14:paraId="2DECE6AE" w14:textId="77777777" w:rsidR="00AC5276" w:rsidRPr="002460E2" w:rsidRDefault="00AC5276" w:rsidP="00AC5276">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368"/>
              <w:gridCol w:w="3101"/>
            </w:tblGrid>
            <w:tr w:rsidR="00AC5276" w:rsidRPr="002460E2" w14:paraId="52C78ED9" w14:textId="77777777" w:rsidTr="002620A5">
              <w:tc>
                <w:tcPr>
                  <w:tcW w:w="1000" w:type="dxa"/>
                  <w:shd w:val="clear" w:color="auto" w:fill="auto"/>
                  <w:hideMark/>
                </w:tcPr>
                <w:p w14:paraId="745A6970"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4F48381E" wp14:editId="0E656D9B">
                        <wp:extent cx="314566" cy="209550"/>
                        <wp:effectExtent l="0" t="0" r="9525" b="0"/>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38" cy="212995"/>
                                </a:xfrm>
                                <a:prstGeom prst="rect">
                                  <a:avLst/>
                                </a:prstGeom>
                                <a:noFill/>
                                <a:ln>
                                  <a:noFill/>
                                </a:ln>
                              </pic:spPr>
                            </pic:pic>
                          </a:graphicData>
                        </a:graphic>
                      </wp:inline>
                    </w:drawing>
                  </w:r>
                </w:p>
              </w:tc>
              <w:tc>
                <w:tcPr>
                  <w:tcW w:w="8688" w:type="dxa"/>
                  <w:shd w:val="clear" w:color="auto" w:fill="auto"/>
                  <w:hideMark/>
                </w:tcPr>
                <w:p w14:paraId="4B8BF1C9"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xml:space="preserve">    = sensibilitatea netă a CVA agregată la factorul de risc k;</w:t>
                  </w:r>
                </w:p>
              </w:tc>
            </w:tr>
          </w:tbl>
          <w:p w14:paraId="4CC00B13" w14:textId="77777777" w:rsidR="00AC5276" w:rsidRPr="002460E2" w:rsidRDefault="00AC5276" w:rsidP="00AC5276">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572"/>
              <w:gridCol w:w="2897"/>
            </w:tblGrid>
            <w:tr w:rsidR="00AC5276" w:rsidRPr="002460E2" w14:paraId="60F90F96" w14:textId="77777777" w:rsidTr="002620A5">
              <w:tc>
                <w:tcPr>
                  <w:tcW w:w="1574" w:type="dxa"/>
                  <w:shd w:val="clear" w:color="auto" w:fill="auto"/>
                  <w:hideMark/>
                </w:tcPr>
                <w:p w14:paraId="7E75B57C"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5FD68EB2" wp14:editId="46F70AC8">
                        <wp:extent cx="459184" cy="190500"/>
                        <wp:effectExtent l="0" t="0" r="0"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650" cy="192353"/>
                                </a:xfrm>
                                <a:prstGeom prst="rect">
                                  <a:avLst/>
                                </a:prstGeom>
                                <a:noFill/>
                                <a:ln>
                                  <a:noFill/>
                                </a:ln>
                              </pic:spPr>
                            </pic:pic>
                          </a:graphicData>
                        </a:graphic>
                      </wp:inline>
                    </w:drawing>
                  </w:r>
                </w:p>
              </w:tc>
              <w:tc>
                <w:tcPr>
                  <w:tcW w:w="8114" w:type="dxa"/>
                  <w:shd w:val="clear" w:color="auto" w:fill="auto"/>
                  <w:hideMark/>
                </w:tcPr>
                <w:p w14:paraId="04C0513C"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sensibilitatea ponderată a valorii de piață a tuturor acoperirilor eligibile din portofoliul CVA la factorul de risc k;</w:t>
                  </w:r>
                </w:p>
              </w:tc>
            </w:tr>
          </w:tbl>
          <w:p w14:paraId="4DD7CE73" w14:textId="77777777" w:rsidR="00AC5276" w:rsidRPr="002460E2" w:rsidRDefault="00AC5276" w:rsidP="00AC5276">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450"/>
              <w:gridCol w:w="3019"/>
            </w:tblGrid>
            <w:tr w:rsidR="00AC5276" w:rsidRPr="002460E2" w14:paraId="6F7F4B85" w14:textId="77777777" w:rsidTr="002620A5">
              <w:tc>
                <w:tcPr>
                  <w:tcW w:w="1230" w:type="dxa"/>
                  <w:shd w:val="clear" w:color="auto" w:fill="auto"/>
                  <w:hideMark/>
                </w:tcPr>
                <w:p w14:paraId="6B17ED43"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72DB824B" wp14:editId="2FFAE384">
                        <wp:extent cx="338670" cy="180975"/>
                        <wp:effectExtent l="0" t="0" r="4445" b="0"/>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422" cy="199545"/>
                                </a:xfrm>
                                <a:prstGeom prst="rect">
                                  <a:avLst/>
                                </a:prstGeom>
                                <a:noFill/>
                                <a:ln>
                                  <a:noFill/>
                                </a:ln>
                              </pic:spPr>
                            </pic:pic>
                          </a:graphicData>
                        </a:graphic>
                      </wp:inline>
                    </w:drawing>
                  </w:r>
                </w:p>
              </w:tc>
              <w:tc>
                <w:tcPr>
                  <w:tcW w:w="8458" w:type="dxa"/>
                  <w:shd w:val="clear" w:color="auto" w:fill="auto"/>
                  <w:hideMark/>
                </w:tcPr>
                <w:p w14:paraId="0FF61B3A" w14:textId="77777777" w:rsidR="00AC5276" w:rsidRPr="002460E2" w:rsidRDefault="00AC5276" w:rsidP="00AC5276">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sensibilitatea netă a valorii de piață a tuturor acoperirilor eligibile din portofoliul CVA la factorul de risc k.</w:t>
                  </w:r>
                </w:p>
              </w:tc>
            </w:tr>
          </w:tbl>
          <w:p w14:paraId="7D03D9A3" w14:textId="08907E16" w:rsidR="008D7F28" w:rsidRPr="002460E2" w:rsidRDefault="008D7F28" w:rsidP="008D7F28">
            <w:pPr>
              <w:pStyle w:val="NoSpacing"/>
              <w:tabs>
                <w:tab w:val="left" w:pos="328"/>
              </w:tabs>
              <w:rPr>
                <w:rFonts w:ascii="Times New Roman" w:hAnsi="Times New Roman" w:cs="Times New Roman"/>
                <w:sz w:val="18"/>
                <w:szCs w:val="18"/>
              </w:rPr>
            </w:pPr>
          </w:p>
        </w:tc>
        <w:tc>
          <w:tcPr>
            <w:tcW w:w="1229" w:type="dxa"/>
          </w:tcPr>
          <w:p w14:paraId="17C1505B" w14:textId="30CC17B2"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6E9B816B" w14:textId="77777777" w:rsidR="008D7F28" w:rsidRPr="002460E2" w:rsidRDefault="008D7F28" w:rsidP="008D7F28">
            <w:pPr>
              <w:jc w:val="both"/>
              <w:rPr>
                <w:sz w:val="18"/>
                <w:szCs w:val="18"/>
                <w:lang w:val="ro-MD"/>
              </w:rPr>
            </w:pPr>
          </w:p>
        </w:tc>
      </w:tr>
      <w:tr w:rsidR="008D7F28" w:rsidRPr="002460E2" w14:paraId="30B1C8DC" w14:textId="77777777" w:rsidTr="003F5B3C">
        <w:trPr>
          <w:trHeight w:val="918"/>
        </w:trPr>
        <w:tc>
          <w:tcPr>
            <w:tcW w:w="4253" w:type="dxa"/>
          </w:tcPr>
          <w:p w14:paraId="3BFCA0D7" w14:textId="387CB404" w:rsidR="008D7F28" w:rsidRPr="002460E2" w:rsidRDefault="008D7F28" w:rsidP="008D7F28">
            <w:pPr>
              <w:rPr>
                <w:sz w:val="18"/>
                <w:szCs w:val="18"/>
                <w:lang w:val="en-US"/>
              </w:rPr>
            </w:pPr>
            <w:r w:rsidRPr="002460E2">
              <w:rPr>
                <w:sz w:val="18"/>
                <w:szCs w:val="18"/>
                <w:lang w:val="en-US"/>
              </w:rPr>
              <w:t>(6) Instituțiile calculează sensibilitatea netă ponderată </w:t>
            </w:r>
            <w:r w:rsidRPr="002460E2">
              <w:rPr>
                <w:i/>
                <w:iCs/>
                <w:sz w:val="18"/>
                <w:szCs w:val="18"/>
                <w:lang w:val="en-US"/>
              </w:rPr>
              <w:t>WS</w:t>
            </w:r>
            <w:r w:rsidRPr="002460E2">
              <w:rPr>
                <w:i/>
                <w:iCs/>
                <w:sz w:val="18"/>
                <w:szCs w:val="18"/>
                <w:vertAlign w:val="subscript"/>
                <w:lang w:val="en-US"/>
              </w:rPr>
              <w:t>k</w:t>
            </w:r>
            <w:r w:rsidRPr="002460E2">
              <w:rPr>
                <w:i/>
                <w:iCs/>
                <w:sz w:val="18"/>
                <w:szCs w:val="18"/>
                <w:lang w:val="en-US"/>
              </w:rPr>
              <w:t> </w:t>
            </w:r>
            <w:r w:rsidRPr="002460E2">
              <w:rPr>
                <w:sz w:val="18"/>
                <w:szCs w:val="18"/>
                <w:lang w:val="en-US"/>
              </w:rPr>
              <w:t>a portofoliului CVA la factorul de risc k în conformitate cu următoarea formulă:</w:t>
            </w:r>
          </w:p>
          <w:p w14:paraId="5B601767" w14:textId="2312C35E" w:rsidR="008D7F28" w:rsidRPr="002460E2" w:rsidRDefault="008D7F28" w:rsidP="008D7F28">
            <w:pPr>
              <w:jc w:val="center"/>
              <w:rPr>
                <w:sz w:val="18"/>
                <w:szCs w:val="18"/>
                <w:lang w:val="en-US"/>
              </w:rPr>
            </w:pPr>
            <w:r w:rsidRPr="002460E2">
              <w:rPr>
                <w:noProof/>
                <w:sz w:val="18"/>
                <w:szCs w:val="18"/>
              </w:rPr>
              <w:drawing>
                <wp:inline distT="0" distB="0" distL="0" distR="0" wp14:anchorId="244B3CB6" wp14:editId="0C83132C">
                  <wp:extent cx="1482834" cy="194153"/>
                  <wp:effectExtent l="0" t="0" r="3175" b="0"/>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2332" cy="200634"/>
                          </a:xfrm>
                          <a:prstGeom prst="rect">
                            <a:avLst/>
                          </a:prstGeom>
                          <a:noFill/>
                          <a:ln>
                            <a:noFill/>
                          </a:ln>
                        </pic:spPr>
                      </pic:pic>
                    </a:graphicData>
                  </a:graphic>
                </wp:inline>
              </w:drawing>
            </w:r>
          </w:p>
        </w:tc>
        <w:tc>
          <w:tcPr>
            <w:tcW w:w="3685" w:type="dxa"/>
            <w:shd w:val="clear" w:color="auto" w:fill="auto"/>
          </w:tcPr>
          <w:p w14:paraId="6BEC5C47" w14:textId="72F74955" w:rsidR="00E87412" w:rsidRPr="002460E2" w:rsidRDefault="00E87412" w:rsidP="00E87412">
            <w:pPr>
              <w:pStyle w:val="ListParagraph"/>
              <w:tabs>
                <w:tab w:val="left" w:pos="851"/>
                <w:tab w:val="left" w:pos="993"/>
              </w:tabs>
              <w:ind w:left="0"/>
              <w:jc w:val="both"/>
              <w:rPr>
                <w:sz w:val="18"/>
                <w:szCs w:val="18"/>
                <w:lang w:val="ro-MD"/>
              </w:rPr>
            </w:pPr>
            <w:r w:rsidRPr="002460E2">
              <w:rPr>
                <w:noProof/>
                <w:sz w:val="18"/>
                <w:szCs w:val="18"/>
                <w:lang w:val="ro-MD"/>
              </w:rPr>
              <w:drawing>
                <wp:anchor distT="0" distB="0" distL="114300" distR="114300" simplePos="0" relativeHeight="251659264" behindDoc="0" locked="0" layoutInCell="1" allowOverlap="1" wp14:anchorId="51A7478F" wp14:editId="77ED3A77">
                  <wp:simplePos x="0" y="0"/>
                  <wp:positionH relativeFrom="column">
                    <wp:posOffset>15875</wp:posOffset>
                  </wp:positionH>
                  <wp:positionV relativeFrom="paragraph">
                    <wp:posOffset>395605</wp:posOffset>
                  </wp:positionV>
                  <wp:extent cx="2133600" cy="278765"/>
                  <wp:effectExtent l="0" t="0" r="0" b="6985"/>
                  <wp:wrapSquare wrapText="bothSides"/>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27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0E2">
              <w:rPr>
                <w:sz w:val="18"/>
                <w:szCs w:val="18"/>
                <w:lang w:val="ro-MD"/>
              </w:rPr>
              <w:t>3</w:t>
            </w:r>
            <w:r w:rsidR="00C8547D" w:rsidRPr="002460E2">
              <w:rPr>
                <w:sz w:val="18"/>
                <w:szCs w:val="18"/>
                <w:lang w:val="ro-MD"/>
              </w:rPr>
              <w:t>8</w:t>
            </w:r>
            <w:r w:rsidRPr="002460E2">
              <w:rPr>
                <w:sz w:val="18"/>
                <w:szCs w:val="18"/>
                <w:lang w:val="ro-MD"/>
              </w:rPr>
              <w:t>. Băncile calculează sensibilitatea netă ponderată </w:t>
            </w:r>
            <w:r w:rsidRPr="002460E2">
              <w:rPr>
                <w:i/>
                <w:iCs/>
                <w:sz w:val="18"/>
                <w:szCs w:val="18"/>
                <w:lang w:val="ro-MD"/>
              </w:rPr>
              <w:t>WS</w:t>
            </w:r>
            <w:r w:rsidRPr="002460E2">
              <w:rPr>
                <w:i/>
                <w:iCs/>
                <w:sz w:val="18"/>
                <w:szCs w:val="18"/>
                <w:vertAlign w:val="subscript"/>
                <w:lang w:val="ro-MD"/>
              </w:rPr>
              <w:t>k</w:t>
            </w:r>
            <w:r w:rsidRPr="002460E2">
              <w:rPr>
                <w:i/>
                <w:iCs/>
                <w:sz w:val="18"/>
                <w:szCs w:val="18"/>
                <w:lang w:val="ro-MD"/>
              </w:rPr>
              <w:t> </w:t>
            </w:r>
            <w:r w:rsidRPr="002460E2">
              <w:rPr>
                <w:sz w:val="18"/>
                <w:szCs w:val="18"/>
                <w:lang w:val="ro-MD"/>
              </w:rPr>
              <w:t>a portofoliului CVA la factorul de risc k în conformitate cu următoarea formulă:</w:t>
            </w:r>
          </w:p>
          <w:p w14:paraId="659CF671" w14:textId="2A4D4BD9" w:rsidR="00E87412" w:rsidRPr="002460E2" w:rsidRDefault="00E87412" w:rsidP="00E87412">
            <w:pPr>
              <w:pStyle w:val="ListParagraph"/>
              <w:tabs>
                <w:tab w:val="left" w:pos="851"/>
                <w:tab w:val="left" w:pos="993"/>
              </w:tabs>
              <w:ind w:left="0" w:firstLine="426"/>
              <w:rPr>
                <w:sz w:val="18"/>
                <w:szCs w:val="18"/>
                <w:lang w:val="ro-MD"/>
              </w:rPr>
            </w:pPr>
            <w:r w:rsidRPr="002460E2">
              <w:rPr>
                <w:sz w:val="18"/>
                <w:szCs w:val="18"/>
                <w:lang w:val="ro-MD"/>
              </w:rPr>
              <w:br w:type="textWrapping" w:clear="all"/>
            </w:r>
          </w:p>
          <w:p w14:paraId="106EBD49" w14:textId="77777777" w:rsidR="008D7F28" w:rsidRPr="002460E2" w:rsidRDefault="008D7F28" w:rsidP="008D7F28">
            <w:pPr>
              <w:pStyle w:val="NoSpacing"/>
              <w:tabs>
                <w:tab w:val="left" w:pos="328"/>
              </w:tabs>
              <w:jc w:val="both"/>
              <w:rPr>
                <w:rFonts w:ascii="Times New Roman" w:hAnsi="Times New Roman" w:cs="Times New Roman"/>
                <w:b/>
                <w:bCs/>
                <w:sz w:val="18"/>
                <w:szCs w:val="18"/>
                <w:lang w:val="ro-MD"/>
              </w:rPr>
            </w:pPr>
          </w:p>
        </w:tc>
        <w:tc>
          <w:tcPr>
            <w:tcW w:w="1229" w:type="dxa"/>
          </w:tcPr>
          <w:p w14:paraId="03605E75" w14:textId="79D0039B"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60A0A49D" w14:textId="77777777" w:rsidR="008D7F28" w:rsidRPr="002460E2" w:rsidRDefault="008D7F28" w:rsidP="008D7F28">
            <w:pPr>
              <w:jc w:val="both"/>
              <w:rPr>
                <w:sz w:val="18"/>
                <w:szCs w:val="18"/>
                <w:lang w:val="ro-MD"/>
              </w:rPr>
            </w:pPr>
          </w:p>
        </w:tc>
      </w:tr>
      <w:tr w:rsidR="008D7F28" w:rsidRPr="002460E2" w14:paraId="7A63E788" w14:textId="77777777" w:rsidTr="003F5B3C">
        <w:trPr>
          <w:trHeight w:val="918"/>
        </w:trPr>
        <w:tc>
          <w:tcPr>
            <w:tcW w:w="4253" w:type="dxa"/>
          </w:tcPr>
          <w:p w14:paraId="3101D734" w14:textId="386162CB" w:rsidR="008D7F28" w:rsidRPr="002460E2" w:rsidRDefault="008D7F28" w:rsidP="008D7F28">
            <w:pPr>
              <w:rPr>
                <w:sz w:val="18"/>
                <w:szCs w:val="18"/>
                <w:lang w:val="en-US"/>
              </w:rPr>
            </w:pPr>
            <w:r w:rsidRPr="002460E2">
              <w:rPr>
                <w:sz w:val="18"/>
                <w:szCs w:val="18"/>
                <w:lang w:val="en-US"/>
              </w:rPr>
              <w:lastRenderedPageBreak/>
              <w:t>(7) Sensibilitățile nete ponderate din cadrul aceleiași benzi sunt agregate în conformitate cu următoarea formulă, utilizând corelațiile corespunzătoare </w:t>
            </w:r>
            <w:r w:rsidRPr="002460E2">
              <w:rPr>
                <w:i/>
                <w:iCs/>
                <w:sz w:val="18"/>
                <w:szCs w:val="18"/>
              </w:rPr>
              <w:t>ρ</w:t>
            </w:r>
            <w:r w:rsidRPr="002460E2">
              <w:rPr>
                <w:i/>
                <w:iCs/>
                <w:sz w:val="18"/>
                <w:szCs w:val="18"/>
                <w:vertAlign w:val="subscript"/>
                <w:lang w:val="en-US"/>
              </w:rPr>
              <w:t>kl</w:t>
            </w:r>
            <w:r w:rsidRPr="002460E2">
              <w:rPr>
                <w:i/>
                <w:iCs/>
                <w:sz w:val="18"/>
                <w:szCs w:val="18"/>
                <w:lang w:val="en-US"/>
              </w:rPr>
              <w:t> </w:t>
            </w:r>
            <w:r w:rsidRPr="002460E2">
              <w:rPr>
                <w:sz w:val="18"/>
                <w:szCs w:val="18"/>
                <w:lang w:val="en-US"/>
              </w:rPr>
              <w:t>pentru sensibilitățile ponderate din cadrul aceleiași benzi prevăzute la articolele 383l, 383t și 383q, obținându-se sensibilitatea specifică benzii </w:t>
            </w:r>
            <w:r w:rsidRPr="002460E2">
              <w:rPr>
                <w:i/>
                <w:iCs/>
                <w:sz w:val="18"/>
                <w:szCs w:val="18"/>
                <w:lang w:val="en-US"/>
              </w:rPr>
              <w:t>K</w:t>
            </w:r>
            <w:r w:rsidRPr="002460E2">
              <w:rPr>
                <w:i/>
                <w:iCs/>
                <w:sz w:val="18"/>
                <w:szCs w:val="18"/>
                <w:vertAlign w:val="subscript"/>
                <w:lang w:val="en-US"/>
              </w:rPr>
              <w:t>b</w:t>
            </w:r>
            <w:r w:rsidRPr="002460E2">
              <w:rPr>
                <w:i/>
                <w:iCs/>
                <w:sz w:val="18"/>
                <w:szCs w:val="18"/>
                <w:lang w:val="en-US"/>
              </w:rPr>
              <w:t> </w:t>
            </w:r>
            <w:r w:rsidRPr="002460E2">
              <w:rPr>
                <w:sz w:val="18"/>
                <w:szCs w:val="18"/>
                <w:lang w:val="en-US"/>
              </w:rPr>
              <w:t>:</w:t>
            </w:r>
          </w:p>
          <w:p w14:paraId="2EA9AD13" w14:textId="77777777" w:rsidR="008D7F28" w:rsidRPr="002460E2" w:rsidRDefault="008D7F28" w:rsidP="008D7F28">
            <w:pPr>
              <w:rPr>
                <w:sz w:val="18"/>
                <w:szCs w:val="18"/>
              </w:rPr>
            </w:pPr>
            <w:r w:rsidRPr="002460E2">
              <w:rPr>
                <w:noProof/>
                <w:sz w:val="18"/>
                <w:szCs w:val="18"/>
              </w:rPr>
              <w:drawing>
                <wp:inline distT="0" distB="0" distL="0" distR="0" wp14:anchorId="1288BCB2" wp14:editId="711D4F96">
                  <wp:extent cx="2236285" cy="281836"/>
                  <wp:effectExtent l="0" t="0" r="0" b="444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1196" cy="292537"/>
                          </a:xfrm>
                          <a:prstGeom prst="rect">
                            <a:avLst/>
                          </a:prstGeom>
                          <a:noFill/>
                          <a:ln>
                            <a:noFill/>
                          </a:ln>
                        </pic:spPr>
                      </pic:pic>
                    </a:graphicData>
                  </a:graphic>
                </wp:inline>
              </w:drawing>
            </w:r>
          </w:p>
          <w:p w14:paraId="3E617ACF" w14:textId="77777777" w:rsidR="008D7F28" w:rsidRPr="002460E2" w:rsidRDefault="008D7F28" w:rsidP="008D7F28">
            <w:pPr>
              <w:rPr>
                <w:sz w:val="18"/>
                <w:szCs w:val="18"/>
              </w:rPr>
            </w:pPr>
            <w:r w:rsidRPr="002460E2">
              <w:rPr>
                <w:sz w:val="18"/>
                <w:szCs w:val="18"/>
              </w:rPr>
              <w:t>unde:</w:t>
            </w:r>
          </w:p>
          <w:tbl>
            <w:tblPr>
              <w:tblW w:w="4466" w:type="dxa"/>
              <w:tblLayout w:type="fixed"/>
              <w:tblCellMar>
                <w:left w:w="0" w:type="dxa"/>
                <w:right w:w="0" w:type="dxa"/>
              </w:tblCellMar>
              <w:tblLook w:val="04A0" w:firstRow="1" w:lastRow="0" w:firstColumn="1" w:lastColumn="0" w:noHBand="0" w:noVBand="1"/>
            </w:tblPr>
            <w:tblGrid>
              <w:gridCol w:w="201"/>
              <w:gridCol w:w="4265"/>
            </w:tblGrid>
            <w:tr w:rsidR="008D7F28" w:rsidRPr="002460E2" w14:paraId="6F7C987C" w14:textId="77777777" w:rsidTr="001B281D">
              <w:trPr>
                <w:trHeight w:val="282"/>
              </w:trPr>
              <w:tc>
                <w:tcPr>
                  <w:tcW w:w="201" w:type="dxa"/>
                  <w:shd w:val="clear" w:color="auto" w:fill="auto"/>
                  <w:hideMark/>
                </w:tcPr>
                <w:p w14:paraId="3CB126EC" w14:textId="77777777" w:rsidR="008D7F28" w:rsidRPr="002460E2" w:rsidRDefault="008D7F28" w:rsidP="008D7F28">
                  <w:pPr>
                    <w:rPr>
                      <w:sz w:val="18"/>
                      <w:szCs w:val="18"/>
                    </w:rPr>
                  </w:pPr>
                  <w:r w:rsidRPr="002460E2">
                    <w:rPr>
                      <w:i/>
                      <w:iCs/>
                      <w:sz w:val="18"/>
                      <w:szCs w:val="18"/>
                    </w:rPr>
                    <w:t>K</w:t>
                  </w:r>
                  <w:r w:rsidRPr="002460E2">
                    <w:rPr>
                      <w:i/>
                      <w:iCs/>
                      <w:sz w:val="18"/>
                      <w:szCs w:val="18"/>
                      <w:vertAlign w:val="subscript"/>
                    </w:rPr>
                    <w:t>b</w:t>
                  </w:r>
                </w:p>
              </w:tc>
              <w:tc>
                <w:tcPr>
                  <w:tcW w:w="4265" w:type="dxa"/>
                  <w:shd w:val="clear" w:color="auto" w:fill="auto"/>
                  <w:hideMark/>
                </w:tcPr>
                <w:p w14:paraId="732F0FC3" w14:textId="77777777" w:rsidR="008D7F28" w:rsidRPr="002460E2" w:rsidRDefault="008D7F28" w:rsidP="008D7F28">
                  <w:pPr>
                    <w:rPr>
                      <w:sz w:val="18"/>
                      <w:szCs w:val="18"/>
                      <w:lang w:val="en-US"/>
                    </w:rPr>
                  </w:pPr>
                  <w:r w:rsidRPr="002460E2">
                    <w:rPr>
                      <w:sz w:val="18"/>
                      <w:szCs w:val="18"/>
                      <w:lang w:val="en-US"/>
                    </w:rPr>
                    <w:t>= sensibilitatea specifică benzii pentru banda b;</w:t>
                  </w:r>
                </w:p>
              </w:tc>
            </w:tr>
          </w:tbl>
          <w:p w14:paraId="19F2B59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463"/>
              <w:gridCol w:w="3574"/>
            </w:tblGrid>
            <w:tr w:rsidR="008D7F28" w:rsidRPr="002460E2" w14:paraId="1018A7AB" w14:textId="77777777" w:rsidTr="005E4B33">
              <w:tc>
                <w:tcPr>
                  <w:tcW w:w="1052" w:type="dxa"/>
                  <w:shd w:val="clear" w:color="auto" w:fill="auto"/>
                  <w:hideMark/>
                </w:tcPr>
                <w:p w14:paraId="0F2C8ADE" w14:textId="77777777" w:rsidR="008D7F28" w:rsidRPr="002460E2" w:rsidRDefault="008D7F28" w:rsidP="008D7F28">
                  <w:pPr>
                    <w:rPr>
                      <w:sz w:val="18"/>
                      <w:szCs w:val="18"/>
                    </w:rPr>
                  </w:pPr>
                  <w:r w:rsidRPr="002460E2">
                    <w:rPr>
                      <w:i/>
                      <w:iCs/>
                      <w:sz w:val="18"/>
                      <w:szCs w:val="18"/>
                    </w:rPr>
                    <w:t>WS</w:t>
                  </w:r>
                  <w:r w:rsidRPr="002460E2">
                    <w:rPr>
                      <w:i/>
                      <w:iCs/>
                      <w:sz w:val="18"/>
                      <w:szCs w:val="18"/>
                      <w:vertAlign w:val="subscript"/>
                    </w:rPr>
                    <w:t>k</w:t>
                  </w:r>
                </w:p>
              </w:tc>
              <w:tc>
                <w:tcPr>
                  <w:tcW w:w="8303" w:type="dxa"/>
                  <w:shd w:val="clear" w:color="auto" w:fill="auto"/>
                  <w:hideMark/>
                </w:tcPr>
                <w:p w14:paraId="3AD81E8C" w14:textId="77777777" w:rsidR="008D7F28" w:rsidRPr="002460E2" w:rsidRDefault="008D7F28" w:rsidP="008D7F28">
                  <w:pPr>
                    <w:rPr>
                      <w:sz w:val="18"/>
                      <w:szCs w:val="18"/>
                    </w:rPr>
                  </w:pPr>
                  <w:r w:rsidRPr="002460E2">
                    <w:rPr>
                      <w:sz w:val="18"/>
                      <w:szCs w:val="18"/>
                    </w:rPr>
                    <w:t>= sensibilitățile nete ponderate;</w:t>
                  </w:r>
                </w:p>
              </w:tc>
            </w:tr>
          </w:tbl>
          <w:p w14:paraId="1CE5178D" w14:textId="77777777" w:rsidR="008D7F28" w:rsidRPr="002460E2" w:rsidRDefault="008D7F28" w:rsidP="008D7F28">
            <w:pPr>
              <w:rPr>
                <w:vanish/>
                <w:sz w:val="18"/>
                <w:szCs w:val="18"/>
              </w:rPr>
            </w:pPr>
          </w:p>
          <w:tbl>
            <w:tblPr>
              <w:tblW w:w="4184" w:type="dxa"/>
              <w:tblLayout w:type="fixed"/>
              <w:tblCellMar>
                <w:left w:w="0" w:type="dxa"/>
                <w:right w:w="0" w:type="dxa"/>
              </w:tblCellMar>
              <w:tblLook w:val="04A0" w:firstRow="1" w:lastRow="0" w:firstColumn="1" w:lastColumn="0" w:noHBand="0" w:noVBand="1"/>
            </w:tblPr>
            <w:tblGrid>
              <w:gridCol w:w="175"/>
              <w:gridCol w:w="4009"/>
            </w:tblGrid>
            <w:tr w:rsidR="008D7F28" w:rsidRPr="002460E2" w14:paraId="1BED101D" w14:textId="77777777" w:rsidTr="001B281D">
              <w:trPr>
                <w:trHeight w:val="494"/>
              </w:trPr>
              <w:tc>
                <w:tcPr>
                  <w:tcW w:w="175" w:type="dxa"/>
                  <w:shd w:val="clear" w:color="auto" w:fill="auto"/>
                  <w:hideMark/>
                </w:tcPr>
                <w:p w14:paraId="1BC53A31" w14:textId="77777777" w:rsidR="008D7F28" w:rsidRPr="002460E2" w:rsidRDefault="008D7F28" w:rsidP="008D7F28">
                  <w:pPr>
                    <w:rPr>
                      <w:sz w:val="18"/>
                      <w:szCs w:val="18"/>
                    </w:rPr>
                  </w:pPr>
                  <w:r w:rsidRPr="002460E2">
                    <w:rPr>
                      <w:i/>
                      <w:iCs/>
                      <w:sz w:val="18"/>
                      <w:szCs w:val="18"/>
                    </w:rPr>
                    <w:t>ρ</w:t>
                  </w:r>
                  <w:r w:rsidRPr="002460E2">
                    <w:rPr>
                      <w:i/>
                      <w:iCs/>
                      <w:sz w:val="18"/>
                      <w:szCs w:val="18"/>
                      <w:vertAlign w:val="subscript"/>
                    </w:rPr>
                    <w:t>kl</w:t>
                  </w:r>
                </w:p>
              </w:tc>
              <w:tc>
                <w:tcPr>
                  <w:tcW w:w="4009" w:type="dxa"/>
                  <w:shd w:val="clear" w:color="auto" w:fill="auto"/>
                  <w:hideMark/>
                </w:tcPr>
                <w:p w14:paraId="78562597" w14:textId="77777777" w:rsidR="008D7F28" w:rsidRPr="002460E2" w:rsidRDefault="008D7F28" w:rsidP="008D7F28">
                  <w:pPr>
                    <w:rPr>
                      <w:sz w:val="18"/>
                      <w:szCs w:val="18"/>
                      <w:lang w:val="en-US"/>
                    </w:rPr>
                  </w:pPr>
                  <w:r w:rsidRPr="002460E2">
                    <w:rPr>
                      <w:sz w:val="18"/>
                      <w:szCs w:val="18"/>
                      <w:lang w:val="en-US"/>
                    </w:rPr>
                    <w:t>= parametrii corespunzători de corelație din cadrul benzii;</w:t>
                  </w:r>
                </w:p>
              </w:tc>
            </w:tr>
          </w:tbl>
          <w:p w14:paraId="708FDE8E"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13"/>
              <w:gridCol w:w="3924"/>
            </w:tblGrid>
            <w:tr w:rsidR="008D7F28" w:rsidRPr="002460E2" w14:paraId="577A868D" w14:textId="77777777" w:rsidTr="005E4B33">
              <w:tc>
                <w:tcPr>
                  <w:tcW w:w="237" w:type="dxa"/>
                  <w:shd w:val="clear" w:color="auto" w:fill="auto"/>
                  <w:hideMark/>
                </w:tcPr>
                <w:p w14:paraId="5A59EC5D" w14:textId="77777777" w:rsidR="008D7F28" w:rsidRPr="002460E2" w:rsidRDefault="008D7F28" w:rsidP="008D7F28">
                  <w:pPr>
                    <w:rPr>
                      <w:sz w:val="18"/>
                      <w:szCs w:val="18"/>
                    </w:rPr>
                  </w:pPr>
                  <w:r w:rsidRPr="002460E2">
                    <w:rPr>
                      <w:i/>
                      <w:iCs/>
                      <w:sz w:val="18"/>
                      <w:szCs w:val="18"/>
                    </w:rPr>
                    <w:t>R</w:t>
                  </w:r>
                </w:p>
              </w:tc>
              <w:tc>
                <w:tcPr>
                  <w:tcW w:w="9118" w:type="dxa"/>
                  <w:shd w:val="clear" w:color="auto" w:fill="auto"/>
                  <w:hideMark/>
                </w:tcPr>
                <w:p w14:paraId="46CD9283" w14:textId="77777777" w:rsidR="008D7F28" w:rsidRPr="002460E2" w:rsidRDefault="008D7F28" w:rsidP="008D7F28">
                  <w:pPr>
                    <w:rPr>
                      <w:sz w:val="18"/>
                      <w:szCs w:val="18"/>
                      <w:lang w:val="en-US"/>
                    </w:rPr>
                  </w:pPr>
                  <w:r w:rsidRPr="002460E2">
                    <w:rPr>
                      <w:sz w:val="18"/>
                      <w:szCs w:val="18"/>
                      <w:lang w:val="en-US"/>
                    </w:rPr>
                    <w:t>= parametrul de excludere a acoperirii egal cu 0,01 .</w:t>
                  </w:r>
                </w:p>
              </w:tc>
            </w:tr>
          </w:tbl>
          <w:p w14:paraId="68F15719" w14:textId="77777777" w:rsidR="008D7F28" w:rsidRPr="002460E2" w:rsidRDefault="008D7F28" w:rsidP="008D7F28">
            <w:pPr>
              <w:pStyle w:val="title-article-norm"/>
              <w:jc w:val="both"/>
              <w:rPr>
                <w:i w:val="0"/>
                <w:sz w:val="18"/>
                <w:szCs w:val="18"/>
              </w:rPr>
            </w:pPr>
          </w:p>
        </w:tc>
        <w:tc>
          <w:tcPr>
            <w:tcW w:w="3685" w:type="dxa"/>
            <w:shd w:val="clear" w:color="auto" w:fill="auto"/>
          </w:tcPr>
          <w:p w14:paraId="1A7CCEF8" w14:textId="6F50AA25"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3</w:t>
            </w:r>
            <w:r w:rsidR="00C8547D" w:rsidRPr="002460E2">
              <w:rPr>
                <w:rFonts w:ascii="Times New Roman" w:hAnsi="Times New Roman" w:cs="Times New Roman"/>
                <w:sz w:val="18"/>
                <w:szCs w:val="18"/>
                <w:lang w:val="ro-MD"/>
              </w:rPr>
              <w:t>9</w:t>
            </w:r>
            <w:r w:rsidRPr="002460E2">
              <w:rPr>
                <w:rFonts w:ascii="Times New Roman" w:hAnsi="Times New Roman" w:cs="Times New Roman"/>
                <w:sz w:val="18"/>
                <w:szCs w:val="18"/>
                <w:lang w:val="ro-MD"/>
              </w:rPr>
              <w:t>. Sensibilitățile nete ponderate din cadrul aceleiași benzi sunt agregate în conformitate cu următoarea formulă, utilizând corelațiile corespunzătoare </w:t>
            </w:r>
            <w:r w:rsidRPr="002460E2">
              <w:rPr>
                <w:rFonts w:ascii="Times New Roman" w:hAnsi="Times New Roman" w:cs="Times New Roman"/>
                <w:i/>
                <w:iCs/>
                <w:sz w:val="18"/>
                <w:szCs w:val="18"/>
                <w:lang w:val="ro-MD"/>
              </w:rPr>
              <w:t>ρ</w:t>
            </w:r>
            <w:r w:rsidRPr="002460E2">
              <w:rPr>
                <w:rFonts w:ascii="Times New Roman" w:hAnsi="Times New Roman" w:cs="Times New Roman"/>
                <w:i/>
                <w:iCs/>
                <w:sz w:val="18"/>
                <w:szCs w:val="18"/>
                <w:vertAlign w:val="subscript"/>
                <w:lang w:val="ro-MD"/>
              </w:rPr>
              <w:t>kl</w:t>
            </w:r>
            <w:r w:rsidRPr="002460E2">
              <w:rPr>
                <w:rFonts w:ascii="Times New Roman" w:hAnsi="Times New Roman" w:cs="Times New Roman"/>
                <w:i/>
                <w:iCs/>
                <w:sz w:val="18"/>
                <w:szCs w:val="18"/>
                <w:lang w:val="ro-MD"/>
              </w:rPr>
              <w:t> </w:t>
            </w:r>
            <w:r w:rsidRPr="002460E2">
              <w:rPr>
                <w:rFonts w:ascii="Times New Roman" w:hAnsi="Times New Roman" w:cs="Times New Roman"/>
                <w:sz w:val="18"/>
                <w:szCs w:val="18"/>
                <w:lang w:val="ro-MD"/>
              </w:rPr>
              <w:t xml:space="preserve">pentru sensibilitățile ponderate din cadrul aceleiași benzi prevăzute la punctele </w:t>
            </w:r>
            <w:r w:rsidR="00C8547D" w:rsidRPr="002460E2">
              <w:rPr>
                <w:rFonts w:ascii="Times New Roman" w:hAnsi="Times New Roman" w:cs="Times New Roman"/>
                <w:sz w:val="18"/>
                <w:szCs w:val="18"/>
                <w:lang w:val="ro-MD"/>
              </w:rPr>
              <w:t xml:space="preserve">75-77, 90, 91, 99 și 100, </w:t>
            </w:r>
            <w:r w:rsidRPr="002460E2">
              <w:rPr>
                <w:rFonts w:ascii="Times New Roman" w:hAnsi="Times New Roman" w:cs="Times New Roman"/>
                <w:sz w:val="18"/>
                <w:szCs w:val="18"/>
                <w:lang w:val="ro-MD"/>
              </w:rPr>
              <w:t>obținându-se sensibilitatea specifică benzii </w:t>
            </w:r>
            <w:r w:rsidRPr="002460E2">
              <w:rPr>
                <w:rFonts w:ascii="Times New Roman" w:hAnsi="Times New Roman" w:cs="Times New Roman"/>
                <w:i/>
                <w:iCs/>
                <w:sz w:val="18"/>
                <w:szCs w:val="18"/>
                <w:lang w:val="ro-MD"/>
              </w:rPr>
              <w:t>K</w:t>
            </w:r>
            <w:r w:rsidRPr="002460E2">
              <w:rPr>
                <w:rFonts w:ascii="Times New Roman" w:hAnsi="Times New Roman" w:cs="Times New Roman"/>
                <w:i/>
                <w:iCs/>
                <w:sz w:val="18"/>
                <w:szCs w:val="18"/>
                <w:vertAlign w:val="subscript"/>
                <w:lang w:val="ro-MD"/>
              </w:rPr>
              <w:t>b</w:t>
            </w:r>
            <w:r w:rsidRPr="002460E2">
              <w:rPr>
                <w:rFonts w:ascii="Times New Roman" w:hAnsi="Times New Roman" w:cs="Times New Roman"/>
                <w:i/>
                <w:iCs/>
                <w:sz w:val="18"/>
                <w:szCs w:val="18"/>
                <w:lang w:val="ro-MD"/>
              </w:rPr>
              <w:t> </w:t>
            </w:r>
            <w:r w:rsidRPr="002460E2">
              <w:rPr>
                <w:rFonts w:ascii="Times New Roman" w:hAnsi="Times New Roman" w:cs="Times New Roman"/>
                <w:sz w:val="18"/>
                <w:szCs w:val="18"/>
                <w:lang w:val="ro-MD"/>
              </w:rPr>
              <w:t>:</w:t>
            </w:r>
          </w:p>
          <w:p w14:paraId="411CCC4C"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noProof/>
                <w:sz w:val="18"/>
                <w:szCs w:val="18"/>
                <w:lang w:val="ro-MD"/>
              </w:rPr>
              <w:drawing>
                <wp:inline distT="0" distB="0" distL="0" distR="0" wp14:anchorId="671B47CA" wp14:editId="09A41CB0">
                  <wp:extent cx="2267341" cy="285750"/>
                  <wp:effectExtent l="0" t="0" r="0" b="0"/>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5615" cy="286793"/>
                          </a:xfrm>
                          <a:prstGeom prst="rect">
                            <a:avLst/>
                          </a:prstGeom>
                          <a:noFill/>
                          <a:ln>
                            <a:noFill/>
                          </a:ln>
                        </pic:spPr>
                      </pic:pic>
                    </a:graphicData>
                  </a:graphic>
                </wp:inline>
              </w:drawing>
            </w:r>
          </w:p>
          <w:p w14:paraId="08D64F09"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unde:</w:t>
            </w:r>
          </w:p>
          <w:tbl>
            <w:tblPr>
              <w:tblW w:w="5000" w:type="pct"/>
              <w:tblLayout w:type="fixed"/>
              <w:tblCellMar>
                <w:left w:w="0" w:type="dxa"/>
                <w:right w:w="0" w:type="dxa"/>
              </w:tblCellMar>
              <w:tblLook w:val="04A0" w:firstRow="1" w:lastRow="0" w:firstColumn="1" w:lastColumn="0" w:noHBand="0" w:noVBand="1"/>
            </w:tblPr>
            <w:tblGrid>
              <w:gridCol w:w="186"/>
              <w:gridCol w:w="3283"/>
            </w:tblGrid>
            <w:tr w:rsidR="00E87412" w:rsidRPr="002460E2" w14:paraId="4B9846A9" w14:textId="77777777" w:rsidTr="002620A5">
              <w:tc>
                <w:tcPr>
                  <w:tcW w:w="486" w:type="dxa"/>
                  <w:shd w:val="clear" w:color="auto" w:fill="auto"/>
                  <w:hideMark/>
                </w:tcPr>
                <w:p w14:paraId="20A2D46D"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i/>
                      <w:iCs/>
                      <w:sz w:val="18"/>
                      <w:szCs w:val="18"/>
                      <w:lang w:val="ro-MD"/>
                    </w:rPr>
                    <w:t>K</w:t>
                  </w:r>
                  <w:r w:rsidRPr="002460E2">
                    <w:rPr>
                      <w:rFonts w:ascii="Times New Roman" w:hAnsi="Times New Roman" w:cs="Times New Roman"/>
                      <w:i/>
                      <w:iCs/>
                      <w:sz w:val="18"/>
                      <w:szCs w:val="18"/>
                      <w:vertAlign w:val="subscript"/>
                      <w:lang w:val="ro-MD"/>
                    </w:rPr>
                    <w:t>b</w:t>
                  </w:r>
                </w:p>
              </w:tc>
              <w:tc>
                <w:tcPr>
                  <w:tcW w:w="9202" w:type="dxa"/>
                  <w:shd w:val="clear" w:color="auto" w:fill="auto"/>
                  <w:hideMark/>
                </w:tcPr>
                <w:p w14:paraId="21BC305E"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sensibilitatea specifică benzii pentru banda b;</w:t>
                  </w:r>
                </w:p>
              </w:tc>
            </w:tr>
          </w:tbl>
          <w:p w14:paraId="2BDBAA4C" w14:textId="77777777" w:rsidR="00E87412" w:rsidRPr="002460E2" w:rsidRDefault="00E87412" w:rsidP="00E87412">
            <w:pPr>
              <w:pStyle w:val="NoSpacing"/>
              <w:tabs>
                <w:tab w:val="left" w:pos="328"/>
              </w:tabs>
              <w:rPr>
                <w:rFonts w:ascii="Times New Roman" w:hAnsi="Times New Roman" w:cs="Times New Roman"/>
                <w:vanish/>
                <w:sz w:val="18"/>
                <w:szCs w:val="18"/>
                <w:lang w:val="ro-MD"/>
              </w:rPr>
            </w:pPr>
          </w:p>
          <w:tbl>
            <w:tblPr>
              <w:tblW w:w="4975" w:type="pct"/>
              <w:tblLayout w:type="fixed"/>
              <w:tblCellMar>
                <w:left w:w="0" w:type="dxa"/>
                <w:right w:w="0" w:type="dxa"/>
              </w:tblCellMar>
              <w:tblLook w:val="04A0" w:firstRow="1" w:lastRow="0" w:firstColumn="1" w:lastColumn="0" w:noHBand="0" w:noVBand="1"/>
            </w:tblPr>
            <w:tblGrid>
              <w:gridCol w:w="704"/>
              <w:gridCol w:w="20"/>
              <w:gridCol w:w="2728"/>
            </w:tblGrid>
            <w:tr w:rsidR="00E87412" w:rsidRPr="002460E2" w14:paraId="23DC47ED" w14:textId="77777777" w:rsidTr="002620A5">
              <w:tc>
                <w:tcPr>
                  <w:tcW w:w="1030" w:type="pct"/>
                  <w:shd w:val="clear" w:color="auto" w:fill="auto"/>
                  <w:hideMark/>
                </w:tcPr>
                <w:p w14:paraId="2520E47A"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i/>
                      <w:iCs/>
                      <w:sz w:val="18"/>
                      <w:szCs w:val="18"/>
                      <w:lang w:val="ro-MD"/>
                    </w:rPr>
                    <w:t>WS</w:t>
                  </w:r>
                  <w:r w:rsidRPr="002460E2">
                    <w:rPr>
                      <w:rFonts w:ascii="Times New Roman" w:hAnsi="Times New Roman" w:cs="Times New Roman"/>
                      <w:i/>
                      <w:iCs/>
                      <w:sz w:val="18"/>
                      <w:szCs w:val="18"/>
                      <w:vertAlign w:val="subscript"/>
                      <w:lang w:val="ro-MD"/>
                    </w:rPr>
                    <w:t>k</w:t>
                  </w:r>
                </w:p>
              </w:tc>
              <w:tc>
                <w:tcPr>
                  <w:tcW w:w="10" w:type="pct"/>
                </w:tcPr>
                <w:p w14:paraId="79E9DF01" w14:textId="77777777" w:rsidR="00E87412" w:rsidRPr="002460E2" w:rsidRDefault="00E87412" w:rsidP="00E87412">
                  <w:pPr>
                    <w:pStyle w:val="NoSpacing"/>
                    <w:tabs>
                      <w:tab w:val="left" w:pos="328"/>
                    </w:tabs>
                    <w:rPr>
                      <w:rFonts w:ascii="Times New Roman" w:hAnsi="Times New Roman" w:cs="Times New Roman"/>
                      <w:sz w:val="18"/>
                      <w:szCs w:val="18"/>
                      <w:lang w:val="ro-MD"/>
                    </w:rPr>
                  </w:pPr>
                </w:p>
              </w:tc>
              <w:tc>
                <w:tcPr>
                  <w:tcW w:w="7635" w:type="dxa"/>
                  <w:shd w:val="clear" w:color="auto" w:fill="auto"/>
                  <w:hideMark/>
                </w:tcPr>
                <w:p w14:paraId="1C1D1C88"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sensibilitățile nete ponderate;</w:t>
                  </w:r>
                </w:p>
              </w:tc>
            </w:tr>
          </w:tbl>
          <w:p w14:paraId="54C0239E" w14:textId="77777777" w:rsidR="00E87412" w:rsidRPr="002460E2" w:rsidRDefault="00E87412" w:rsidP="00E87412">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150"/>
              <w:gridCol w:w="3319"/>
            </w:tblGrid>
            <w:tr w:rsidR="00E87412" w:rsidRPr="002460E2" w14:paraId="318F49E4" w14:textId="77777777" w:rsidTr="002620A5">
              <w:tc>
                <w:tcPr>
                  <w:tcW w:w="386" w:type="dxa"/>
                  <w:shd w:val="clear" w:color="auto" w:fill="auto"/>
                  <w:hideMark/>
                </w:tcPr>
                <w:p w14:paraId="6A233A0A"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i/>
                      <w:iCs/>
                      <w:sz w:val="18"/>
                      <w:szCs w:val="18"/>
                      <w:lang w:val="ro-MD"/>
                    </w:rPr>
                    <w:t>ρ</w:t>
                  </w:r>
                  <w:r w:rsidRPr="002460E2">
                    <w:rPr>
                      <w:rFonts w:ascii="Times New Roman" w:hAnsi="Times New Roman" w:cs="Times New Roman"/>
                      <w:i/>
                      <w:iCs/>
                      <w:sz w:val="18"/>
                      <w:szCs w:val="18"/>
                      <w:vertAlign w:val="subscript"/>
                      <w:lang w:val="ro-MD"/>
                    </w:rPr>
                    <w:t>kl</w:t>
                  </w:r>
                </w:p>
              </w:tc>
              <w:tc>
                <w:tcPr>
                  <w:tcW w:w="9302" w:type="dxa"/>
                  <w:shd w:val="clear" w:color="auto" w:fill="auto"/>
                  <w:hideMark/>
                </w:tcPr>
                <w:p w14:paraId="64768313"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parametrii corespunzători de corelație din cadrul benzii;</w:t>
                  </w:r>
                </w:p>
              </w:tc>
            </w:tr>
          </w:tbl>
          <w:p w14:paraId="61128F6F" w14:textId="77777777" w:rsidR="00E87412" w:rsidRPr="002460E2" w:rsidRDefault="00E87412" w:rsidP="00E87412">
            <w:pPr>
              <w:pStyle w:val="NoSpacing"/>
              <w:tabs>
                <w:tab w:val="left" w:pos="328"/>
              </w:tabs>
              <w:rPr>
                <w:rFonts w:ascii="Times New Roman" w:hAnsi="Times New Roman" w:cs="Times New Roman"/>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111"/>
              <w:gridCol w:w="3358"/>
            </w:tblGrid>
            <w:tr w:rsidR="00E87412" w:rsidRPr="002460E2" w14:paraId="30FCA38E" w14:textId="77777777" w:rsidTr="002620A5">
              <w:tc>
                <w:tcPr>
                  <w:tcW w:w="276" w:type="dxa"/>
                  <w:shd w:val="clear" w:color="auto" w:fill="auto"/>
                  <w:hideMark/>
                </w:tcPr>
                <w:p w14:paraId="20158CD6"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i/>
                      <w:iCs/>
                      <w:sz w:val="18"/>
                      <w:szCs w:val="18"/>
                      <w:lang w:val="ro-MD"/>
                    </w:rPr>
                    <w:t>R</w:t>
                  </w:r>
                </w:p>
              </w:tc>
              <w:tc>
                <w:tcPr>
                  <w:tcW w:w="9412" w:type="dxa"/>
                  <w:shd w:val="clear" w:color="auto" w:fill="auto"/>
                  <w:hideMark/>
                </w:tcPr>
                <w:p w14:paraId="75C8BCB7" w14:textId="77777777" w:rsidR="00E87412" w:rsidRPr="002460E2" w:rsidRDefault="00E87412" w:rsidP="00E87412">
                  <w:pPr>
                    <w:pStyle w:val="NoSpacing"/>
                    <w:tabs>
                      <w:tab w:val="left" w:pos="328"/>
                    </w:tabs>
                    <w:rPr>
                      <w:rFonts w:ascii="Times New Roman" w:hAnsi="Times New Roman" w:cs="Times New Roman"/>
                      <w:sz w:val="18"/>
                      <w:szCs w:val="18"/>
                      <w:lang w:val="ro-MD"/>
                    </w:rPr>
                  </w:pPr>
                  <w:r w:rsidRPr="002460E2">
                    <w:rPr>
                      <w:rFonts w:ascii="Times New Roman" w:hAnsi="Times New Roman" w:cs="Times New Roman"/>
                      <w:sz w:val="18"/>
                      <w:szCs w:val="18"/>
                      <w:lang w:val="ro-MD"/>
                    </w:rPr>
                    <w:t>= parametrul de excludere a acoperirii egal cu 0,01 .</w:t>
                  </w:r>
                </w:p>
              </w:tc>
            </w:tr>
          </w:tbl>
          <w:p w14:paraId="0DA74190" w14:textId="77777777" w:rsidR="008D7F28" w:rsidRPr="002460E2" w:rsidRDefault="008D7F28" w:rsidP="008D7F28">
            <w:pPr>
              <w:pStyle w:val="NoSpacing"/>
              <w:tabs>
                <w:tab w:val="left" w:pos="328"/>
              </w:tabs>
              <w:jc w:val="both"/>
              <w:rPr>
                <w:rFonts w:ascii="Times New Roman" w:hAnsi="Times New Roman" w:cs="Times New Roman"/>
                <w:b/>
                <w:bCs/>
                <w:sz w:val="18"/>
                <w:szCs w:val="18"/>
              </w:rPr>
            </w:pPr>
          </w:p>
        </w:tc>
        <w:tc>
          <w:tcPr>
            <w:tcW w:w="1229" w:type="dxa"/>
          </w:tcPr>
          <w:p w14:paraId="648ADEDE" w14:textId="494CB8E9"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6EC6A41C" w14:textId="77777777" w:rsidR="008D7F28" w:rsidRPr="002460E2" w:rsidRDefault="008D7F28" w:rsidP="008D7F28">
            <w:pPr>
              <w:jc w:val="both"/>
              <w:rPr>
                <w:sz w:val="18"/>
                <w:szCs w:val="18"/>
                <w:lang w:val="ro-MD"/>
              </w:rPr>
            </w:pPr>
          </w:p>
        </w:tc>
      </w:tr>
      <w:tr w:rsidR="008D7F28" w:rsidRPr="002460E2" w14:paraId="742A2173" w14:textId="77777777" w:rsidTr="003F5B3C">
        <w:trPr>
          <w:trHeight w:val="918"/>
        </w:trPr>
        <w:tc>
          <w:tcPr>
            <w:tcW w:w="4253" w:type="dxa"/>
          </w:tcPr>
          <w:p w14:paraId="6D30C74A" w14:textId="6A6F5FF4" w:rsidR="008D7F28" w:rsidRPr="002460E2" w:rsidRDefault="008D7F28" w:rsidP="008D7F28">
            <w:pPr>
              <w:rPr>
                <w:sz w:val="18"/>
                <w:szCs w:val="18"/>
                <w:lang w:val="en-US"/>
              </w:rPr>
            </w:pPr>
            <w:r w:rsidRPr="002460E2">
              <w:rPr>
                <w:sz w:val="18"/>
                <w:szCs w:val="18"/>
                <w:lang w:val="en-US"/>
              </w:rPr>
              <w:t>(8) Sensibilitatea specifică benzii se calculează în conformitate cu alineatele (5), (6) și (7) de la prezentul articol pentru fiecare bandă din cadrul unei clase de risc. După ce sensibilitatea specifică benzii a fost calculată în cazul tuturor benzilor, sensibilitățile ponderate la toți factorii de risc din toate benzile sunt agregate în conformitate cu formula de mai jos, utilizând corelațiile corespunzătoare </w:t>
            </w:r>
            <w:r w:rsidRPr="002460E2">
              <w:rPr>
                <w:i/>
                <w:iCs/>
                <w:sz w:val="18"/>
                <w:szCs w:val="18"/>
              </w:rPr>
              <w:t>γ</w:t>
            </w:r>
            <w:r w:rsidRPr="002460E2">
              <w:rPr>
                <w:i/>
                <w:iCs/>
                <w:sz w:val="18"/>
                <w:szCs w:val="18"/>
                <w:vertAlign w:val="subscript"/>
                <w:lang w:val="en-US"/>
              </w:rPr>
              <w:t>bc</w:t>
            </w:r>
            <w:r w:rsidRPr="002460E2">
              <w:rPr>
                <w:i/>
                <w:iCs/>
                <w:sz w:val="18"/>
                <w:szCs w:val="18"/>
                <w:lang w:val="en-US"/>
              </w:rPr>
              <w:t> </w:t>
            </w:r>
            <w:r w:rsidRPr="002460E2">
              <w:rPr>
                <w:sz w:val="18"/>
                <w:szCs w:val="18"/>
                <w:lang w:val="en-US"/>
              </w:rPr>
              <w:t>pentru sensibilitățile ponderate din diferitele benzi prevăzute la articolele 383l, 383o, 383r, 383u, 383w și 383z obținându-se cerințele de fonduri proprii specifice unei clase de risc pentru riscul delta sau vega:</w:t>
            </w:r>
          </w:p>
          <w:p w14:paraId="035A4252" w14:textId="77777777" w:rsidR="008D7F28" w:rsidRPr="002460E2" w:rsidRDefault="008D7F28" w:rsidP="008D7F28">
            <w:pPr>
              <w:rPr>
                <w:sz w:val="18"/>
                <w:szCs w:val="18"/>
              </w:rPr>
            </w:pPr>
            <w:r w:rsidRPr="002460E2">
              <w:rPr>
                <w:noProof/>
                <w:sz w:val="18"/>
                <w:szCs w:val="18"/>
              </w:rPr>
              <w:drawing>
                <wp:inline distT="0" distB="0" distL="0" distR="0" wp14:anchorId="101B725F" wp14:editId="3EEC0358">
                  <wp:extent cx="2243893" cy="338203"/>
                  <wp:effectExtent l="0" t="0" r="4445" b="508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88" cy="347426"/>
                          </a:xfrm>
                          <a:prstGeom prst="rect">
                            <a:avLst/>
                          </a:prstGeom>
                          <a:noFill/>
                          <a:ln>
                            <a:noFill/>
                          </a:ln>
                        </pic:spPr>
                      </pic:pic>
                    </a:graphicData>
                  </a:graphic>
                </wp:inline>
              </w:drawing>
            </w:r>
          </w:p>
          <w:p w14:paraId="38AEEE93" w14:textId="77777777" w:rsidR="008D7F28" w:rsidRPr="002460E2" w:rsidRDefault="008D7F28" w:rsidP="008D7F28">
            <w:pPr>
              <w:rPr>
                <w:sz w:val="18"/>
                <w:szCs w:val="18"/>
              </w:rPr>
            </w:pPr>
            <w:r w:rsidRPr="002460E2">
              <w:rPr>
                <w:sz w:val="18"/>
                <w:szCs w:val="18"/>
              </w:rPr>
              <w:t>unde:</w:t>
            </w:r>
          </w:p>
          <w:tbl>
            <w:tblPr>
              <w:tblW w:w="3860" w:type="dxa"/>
              <w:tblLayout w:type="fixed"/>
              <w:tblCellMar>
                <w:left w:w="0" w:type="dxa"/>
                <w:right w:w="0" w:type="dxa"/>
              </w:tblCellMar>
              <w:tblLook w:val="04A0" w:firstRow="1" w:lastRow="0" w:firstColumn="1" w:lastColumn="0" w:noHBand="0" w:noVBand="1"/>
            </w:tblPr>
            <w:tblGrid>
              <w:gridCol w:w="174"/>
              <w:gridCol w:w="3686"/>
            </w:tblGrid>
            <w:tr w:rsidR="008D7F28" w:rsidRPr="002460E2" w14:paraId="213CD869" w14:textId="77777777" w:rsidTr="008D1014">
              <w:trPr>
                <w:trHeight w:val="972"/>
              </w:trPr>
              <w:tc>
                <w:tcPr>
                  <w:tcW w:w="174" w:type="dxa"/>
                  <w:shd w:val="clear" w:color="auto" w:fill="auto"/>
                  <w:hideMark/>
                </w:tcPr>
                <w:p w14:paraId="2A034C61" w14:textId="77777777" w:rsidR="008D7F28" w:rsidRPr="002460E2" w:rsidRDefault="008D7F28" w:rsidP="008D7F28">
                  <w:pPr>
                    <w:rPr>
                      <w:sz w:val="18"/>
                      <w:szCs w:val="18"/>
                    </w:rPr>
                  </w:pPr>
                  <w:r w:rsidRPr="002460E2">
                    <w:rPr>
                      <w:i/>
                      <w:iCs/>
                      <w:sz w:val="18"/>
                      <w:szCs w:val="18"/>
                    </w:rPr>
                    <w:t>m</w:t>
                  </w:r>
                  <w:r w:rsidRPr="002460E2">
                    <w:rPr>
                      <w:i/>
                      <w:iCs/>
                      <w:sz w:val="18"/>
                      <w:szCs w:val="18"/>
                      <w:vertAlign w:val="subscript"/>
                    </w:rPr>
                    <w:t>CVA</w:t>
                  </w:r>
                </w:p>
              </w:tc>
              <w:tc>
                <w:tcPr>
                  <w:tcW w:w="3686" w:type="dxa"/>
                  <w:shd w:val="clear" w:color="auto" w:fill="auto"/>
                  <w:hideMark/>
                </w:tcPr>
                <w:p w14:paraId="5B95E9F2" w14:textId="77777777" w:rsidR="008D7F28" w:rsidRPr="002460E2" w:rsidRDefault="008D7F28" w:rsidP="008D7F28">
                  <w:pPr>
                    <w:rPr>
                      <w:sz w:val="18"/>
                      <w:szCs w:val="18"/>
                      <w:lang w:val="en-US"/>
                    </w:rPr>
                  </w:pPr>
                  <w:r w:rsidRPr="002460E2">
                    <w:rPr>
                      <w:sz w:val="18"/>
                      <w:szCs w:val="18"/>
                      <w:lang w:val="en-US"/>
                    </w:rPr>
                    <w:t>= un factor de multiplicare egal cu 1; autoritatea competentă poate majora valoarea </w:t>
                  </w:r>
                  <w:r w:rsidRPr="002460E2">
                    <w:rPr>
                      <w:i/>
                      <w:iCs/>
                      <w:sz w:val="18"/>
                      <w:szCs w:val="18"/>
                      <w:lang w:val="en-US"/>
                    </w:rPr>
                    <w:t>m</w:t>
                  </w:r>
                  <w:r w:rsidRPr="002460E2">
                    <w:rPr>
                      <w:i/>
                      <w:iCs/>
                      <w:sz w:val="18"/>
                      <w:szCs w:val="18"/>
                      <w:vertAlign w:val="subscript"/>
                      <w:lang w:val="en-US"/>
                    </w:rPr>
                    <w:t>CVA</w:t>
                  </w:r>
                  <w:r w:rsidRPr="002460E2">
                    <w:rPr>
                      <w:i/>
                      <w:iCs/>
                      <w:sz w:val="18"/>
                      <w:szCs w:val="18"/>
                      <w:lang w:val="en-US"/>
                    </w:rPr>
                    <w:t> </w:t>
                  </w:r>
                  <w:r w:rsidRPr="002460E2">
                    <w:rPr>
                      <w:sz w:val="18"/>
                      <w:szCs w:val="18"/>
                      <w:lang w:val="en-US"/>
                    </w:rPr>
                    <w:t xml:space="preserve">în cazul în care modelul de CVA reglementară al instituției prezintă deficiențe care împiedică măsurarea </w:t>
                  </w:r>
                  <w:r w:rsidRPr="002460E2">
                    <w:rPr>
                      <w:sz w:val="18"/>
                      <w:szCs w:val="18"/>
                      <w:lang w:val="en-US"/>
                    </w:rPr>
                    <w:lastRenderedPageBreak/>
                    <w:t>corespunzătoare a cerințelor de fonduri proprii pentru riscul CVA;</w:t>
                  </w:r>
                </w:p>
              </w:tc>
            </w:tr>
          </w:tbl>
          <w:p w14:paraId="3646F269" w14:textId="77777777" w:rsidR="008D7F28" w:rsidRPr="002460E2" w:rsidRDefault="008D7F28" w:rsidP="008D7F28">
            <w:pPr>
              <w:rPr>
                <w:vanish/>
                <w:sz w:val="18"/>
                <w:szCs w:val="18"/>
              </w:rPr>
            </w:pPr>
          </w:p>
          <w:tbl>
            <w:tblPr>
              <w:tblW w:w="4482" w:type="dxa"/>
              <w:tblLayout w:type="fixed"/>
              <w:tblCellMar>
                <w:left w:w="0" w:type="dxa"/>
                <w:right w:w="0" w:type="dxa"/>
              </w:tblCellMar>
              <w:tblLook w:val="04A0" w:firstRow="1" w:lastRow="0" w:firstColumn="1" w:lastColumn="0" w:noHBand="0" w:noVBand="1"/>
            </w:tblPr>
            <w:tblGrid>
              <w:gridCol w:w="202"/>
              <w:gridCol w:w="4280"/>
            </w:tblGrid>
            <w:tr w:rsidR="008D7F28" w:rsidRPr="002460E2" w14:paraId="017E16E8" w14:textId="77777777" w:rsidTr="008D1014">
              <w:trPr>
                <w:trHeight w:val="343"/>
              </w:trPr>
              <w:tc>
                <w:tcPr>
                  <w:tcW w:w="202" w:type="dxa"/>
                  <w:shd w:val="clear" w:color="auto" w:fill="auto"/>
                  <w:hideMark/>
                </w:tcPr>
                <w:p w14:paraId="5ACE7DCF" w14:textId="77777777" w:rsidR="008D7F28" w:rsidRPr="002460E2" w:rsidRDefault="008D7F28" w:rsidP="008D7F28">
                  <w:pPr>
                    <w:rPr>
                      <w:sz w:val="18"/>
                      <w:szCs w:val="18"/>
                    </w:rPr>
                  </w:pPr>
                  <w:r w:rsidRPr="002460E2">
                    <w:rPr>
                      <w:i/>
                      <w:iCs/>
                      <w:sz w:val="18"/>
                      <w:szCs w:val="18"/>
                    </w:rPr>
                    <w:t>K</w:t>
                  </w:r>
                  <w:r w:rsidRPr="002460E2">
                    <w:rPr>
                      <w:i/>
                      <w:iCs/>
                      <w:sz w:val="18"/>
                      <w:szCs w:val="18"/>
                      <w:vertAlign w:val="subscript"/>
                    </w:rPr>
                    <w:t>b</w:t>
                  </w:r>
                </w:p>
              </w:tc>
              <w:tc>
                <w:tcPr>
                  <w:tcW w:w="4280" w:type="dxa"/>
                  <w:shd w:val="clear" w:color="auto" w:fill="auto"/>
                  <w:hideMark/>
                </w:tcPr>
                <w:p w14:paraId="3EBD5BF8" w14:textId="77777777" w:rsidR="008D7F28" w:rsidRPr="002460E2" w:rsidRDefault="008D7F28" w:rsidP="008D7F28">
                  <w:pPr>
                    <w:rPr>
                      <w:sz w:val="18"/>
                      <w:szCs w:val="18"/>
                      <w:lang w:val="en-US"/>
                    </w:rPr>
                  </w:pPr>
                  <w:r w:rsidRPr="002460E2">
                    <w:rPr>
                      <w:sz w:val="18"/>
                      <w:szCs w:val="18"/>
                      <w:lang w:val="en-US"/>
                    </w:rPr>
                    <w:t>= sensibilitatea specifică benzii pentru banda b;</w:t>
                  </w:r>
                </w:p>
              </w:tc>
            </w:tr>
          </w:tbl>
          <w:p w14:paraId="5D4185A4"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30"/>
              <w:gridCol w:w="3807"/>
            </w:tblGrid>
            <w:tr w:rsidR="008D7F28" w:rsidRPr="002460E2" w14:paraId="30444F97" w14:textId="77777777" w:rsidTr="005E4B33">
              <w:tc>
                <w:tcPr>
                  <w:tcW w:w="510" w:type="dxa"/>
                  <w:shd w:val="clear" w:color="auto" w:fill="auto"/>
                  <w:hideMark/>
                </w:tcPr>
                <w:p w14:paraId="35B0C9BC" w14:textId="77777777" w:rsidR="008D7F28" w:rsidRPr="002460E2" w:rsidRDefault="008D7F28" w:rsidP="008D7F28">
                  <w:pPr>
                    <w:rPr>
                      <w:sz w:val="18"/>
                      <w:szCs w:val="18"/>
                    </w:rPr>
                  </w:pPr>
                  <w:r w:rsidRPr="002460E2">
                    <w:rPr>
                      <w:i/>
                      <w:iCs/>
                      <w:sz w:val="18"/>
                      <w:szCs w:val="18"/>
                    </w:rPr>
                    <w:t>γ</w:t>
                  </w:r>
                  <w:r w:rsidRPr="002460E2">
                    <w:rPr>
                      <w:i/>
                      <w:iCs/>
                      <w:sz w:val="18"/>
                      <w:szCs w:val="18"/>
                      <w:vertAlign w:val="subscript"/>
                    </w:rPr>
                    <w:t>bc</w:t>
                  </w:r>
                </w:p>
              </w:tc>
              <w:tc>
                <w:tcPr>
                  <w:tcW w:w="8845" w:type="dxa"/>
                  <w:shd w:val="clear" w:color="auto" w:fill="auto"/>
                  <w:hideMark/>
                </w:tcPr>
                <w:p w14:paraId="7FF1C6C6" w14:textId="77777777" w:rsidR="008D7F28" w:rsidRPr="002460E2" w:rsidRDefault="008D7F28" w:rsidP="008D7F28">
                  <w:pPr>
                    <w:rPr>
                      <w:sz w:val="18"/>
                      <w:szCs w:val="18"/>
                      <w:lang w:val="en-US"/>
                    </w:rPr>
                  </w:pPr>
                  <w:r w:rsidRPr="002460E2">
                    <w:rPr>
                      <w:sz w:val="18"/>
                      <w:szCs w:val="18"/>
                      <w:lang w:val="en-US"/>
                    </w:rPr>
                    <w:t>= parametrul de corelație între benzile b și c;</w:t>
                  </w:r>
                </w:p>
                <w:p w14:paraId="5A37F87A" w14:textId="77777777" w:rsidR="008D7F28" w:rsidRPr="002460E2" w:rsidRDefault="008D7F28" w:rsidP="008D7F28">
                  <w:pPr>
                    <w:rPr>
                      <w:sz w:val="18"/>
                      <w:szCs w:val="18"/>
                      <w:lang w:val="en-US"/>
                    </w:rPr>
                  </w:pPr>
                </w:p>
              </w:tc>
            </w:tr>
          </w:tbl>
          <w:p w14:paraId="47AE2394" w14:textId="77777777" w:rsidR="008D7F28" w:rsidRPr="002460E2" w:rsidRDefault="008D7F28" w:rsidP="008D7F28">
            <w:pPr>
              <w:rPr>
                <w:vanish/>
                <w:sz w:val="18"/>
                <w:szCs w:val="18"/>
              </w:rPr>
            </w:pPr>
          </w:p>
          <w:tbl>
            <w:tblPr>
              <w:tblW w:w="3433" w:type="dxa"/>
              <w:tblLayout w:type="fixed"/>
              <w:tblCellMar>
                <w:left w:w="0" w:type="dxa"/>
                <w:right w:w="0" w:type="dxa"/>
              </w:tblCellMar>
              <w:tblLook w:val="04A0" w:firstRow="1" w:lastRow="0" w:firstColumn="1" w:lastColumn="0" w:noHBand="0" w:noVBand="1"/>
            </w:tblPr>
            <w:tblGrid>
              <w:gridCol w:w="1994"/>
              <w:gridCol w:w="1439"/>
            </w:tblGrid>
            <w:tr w:rsidR="008D7F28" w:rsidRPr="002460E2" w14:paraId="14BEE4DB" w14:textId="77777777" w:rsidTr="008D1014">
              <w:trPr>
                <w:trHeight w:val="1026"/>
              </w:trPr>
              <w:tc>
                <w:tcPr>
                  <w:tcW w:w="1994" w:type="dxa"/>
                  <w:shd w:val="clear" w:color="auto" w:fill="auto"/>
                  <w:hideMark/>
                </w:tcPr>
                <w:p w14:paraId="7E97C8CB" w14:textId="77777777" w:rsidR="008D7F28" w:rsidRPr="002460E2" w:rsidRDefault="008D7F28" w:rsidP="008D7F28">
                  <w:pPr>
                    <w:rPr>
                      <w:sz w:val="18"/>
                      <w:szCs w:val="18"/>
                    </w:rPr>
                  </w:pPr>
                  <w:r w:rsidRPr="002460E2">
                    <w:rPr>
                      <w:noProof/>
                      <w:sz w:val="18"/>
                      <w:szCs w:val="18"/>
                    </w:rPr>
                    <w:drawing>
                      <wp:inline distT="0" distB="0" distL="0" distR="0" wp14:anchorId="68D0403A" wp14:editId="7AC6F6FF">
                        <wp:extent cx="1155669" cy="244258"/>
                        <wp:effectExtent l="0" t="0" r="6985" b="381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9140" cy="261900"/>
                                </a:xfrm>
                                <a:prstGeom prst="rect">
                                  <a:avLst/>
                                </a:prstGeom>
                                <a:noFill/>
                                <a:ln>
                                  <a:noFill/>
                                </a:ln>
                              </pic:spPr>
                            </pic:pic>
                          </a:graphicData>
                        </a:graphic>
                      </wp:inline>
                    </w:drawing>
                  </w:r>
                </w:p>
              </w:tc>
              <w:tc>
                <w:tcPr>
                  <w:tcW w:w="1439" w:type="dxa"/>
                  <w:shd w:val="clear" w:color="auto" w:fill="auto"/>
                  <w:hideMark/>
                </w:tcPr>
                <w:p w14:paraId="1FFF0065" w14:textId="77777777" w:rsidR="008D7F28" w:rsidRPr="002460E2" w:rsidRDefault="008D7F28" w:rsidP="008D7F28">
                  <w:pPr>
                    <w:rPr>
                      <w:sz w:val="18"/>
                      <w:szCs w:val="18"/>
                      <w:lang w:val="en-US"/>
                    </w:rPr>
                  </w:pPr>
                  <w:r w:rsidRPr="002460E2">
                    <w:rPr>
                      <w:sz w:val="18"/>
                      <w:szCs w:val="18"/>
                      <w:lang w:val="en-US"/>
                    </w:rPr>
                    <w:t>pentru toți factorii de risc din banda b;</w:t>
                  </w:r>
                </w:p>
              </w:tc>
            </w:tr>
          </w:tbl>
          <w:p w14:paraId="7A5E67F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352"/>
              <w:gridCol w:w="1685"/>
            </w:tblGrid>
            <w:tr w:rsidR="008D7F28" w:rsidRPr="002460E2" w14:paraId="4E5438FF" w14:textId="77777777" w:rsidTr="005E4B33">
              <w:tc>
                <w:tcPr>
                  <w:tcW w:w="5455" w:type="dxa"/>
                  <w:shd w:val="clear" w:color="auto" w:fill="auto"/>
                  <w:hideMark/>
                </w:tcPr>
                <w:p w14:paraId="12C68635" w14:textId="77777777" w:rsidR="008D7F28" w:rsidRPr="002460E2" w:rsidRDefault="008D7F28" w:rsidP="008D7F28">
                  <w:pPr>
                    <w:rPr>
                      <w:sz w:val="18"/>
                      <w:szCs w:val="18"/>
                    </w:rPr>
                  </w:pPr>
                  <w:r w:rsidRPr="002460E2">
                    <w:rPr>
                      <w:noProof/>
                      <w:sz w:val="18"/>
                      <w:szCs w:val="18"/>
                    </w:rPr>
                    <w:drawing>
                      <wp:inline distT="0" distB="0" distL="0" distR="0" wp14:anchorId="74ECBD01" wp14:editId="79638A8B">
                        <wp:extent cx="1340285" cy="283278"/>
                        <wp:effectExtent l="0" t="0" r="0" b="254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869" cy="291433"/>
                                </a:xfrm>
                                <a:prstGeom prst="rect">
                                  <a:avLst/>
                                </a:prstGeom>
                                <a:noFill/>
                                <a:ln>
                                  <a:noFill/>
                                </a:ln>
                              </pic:spPr>
                            </pic:pic>
                          </a:graphicData>
                        </a:graphic>
                      </wp:inline>
                    </w:drawing>
                  </w:r>
                </w:p>
              </w:tc>
              <w:tc>
                <w:tcPr>
                  <w:tcW w:w="3900" w:type="dxa"/>
                  <w:shd w:val="clear" w:color="auto" w:fill="auto"/>
                  <w:hideMark/>
                </w:tcPr>
                <w:p w14:paraId="65176A41" w14:textId="77777777" w:rsidR="008D7F28" w:rsidRPr="002460E2" w:rsidRDefault="008D7F28" w:rsidP="008D7F28">
                  <w:pPr>
                    <w:rPr>
                      <w:sz w:val="18"/>
                      <w:szCs w:val="18"/>
                      <w:lang w:val="en-US"/>
                    </w:rPr>
                  </w:pPr>
                  <w:r w:rsidRPr="002460E2">
                    <w:rPr>
                      <w:sz w:val="18"/>
                      <w:szCs w:val="18"/>
                      <w:lang w:val="en-US"/>
                    </w:rPr>
                    <w:t>pentru toți factorii de risc din banda c.</w:t>
                  </w:r>
                </w:p>
              </w:tc>
            </w:tr>
          </w:tbl>
          <w:p w14:paraId="16C08654" w14:textId="07593262" w:rsidR="008D7F28" w:rsidRPr="002460E2" w:rsidRDefault="008D7F28" w:rsidP="008D7F28">
            <w:pPr>
              <w:pStyle w:val="CM4"/>
              <w:spacing w:before="60" w:after="60"/>
              <w:rPr>
                <w:rFonts w:ascii="Times New Roman" w:hAnsi="Times New Roman"/>
                <w:color w:val="000000"/>
                <w:sz w:val="18"/>
                <w:szCs w:val="18"/>
              </w:rPr>
            </w:pPr>
          </w:p>
        </w:tc>
        <w:tc>
          <w:tcPr>
            <w:tcW w:w="3685" w:type="dxa"/>
            <w:shd w:val="clear" w:color="auto" w:fill="auto"/>
          </w:tcPr>
          <w:p w14:paraId="6E358706" w14:textId="77777777" w:rsidR="00C8547D" w:rsidRPr="00C8547D" w:rsidRDefault="00C8547D" w:rsidP="00C8547D">
            <w:pPr>
              <w:pStyle w:val="ListParagraph"/>
              <w:ind w:left="43"/>
              <w:rPr>
                <w:sz w:val="18"/>
                <w:szCs w:val="18"/>
                <w:lang w:val="ro-MD"/>
              </w:rPr>
            </w:pPr>
            <w:r w:rsidRPr="00C8547D">
              <w:rPr>
                <w:sz w:val="18"/>
                <w:szCs w:val="18"/>
                <w:lang w:val="ro-MD"/>
              </w:rPr>
              <w:lastRenderedPageBreak/>
              <w:t>40. Sensibilitatea specifică benzii se calculează în conformitate cu punctele 37-39  pentru fiecare bandă din cadrul unei clase de risc. După ce sensibilitatea specifică benzii a fost calculată în cazul tuturor benzilor, sensibilitățile ponderate la toți factorii de risc din toate benzile sunt agregate în conformitate cu formula de mai jos, utilizând corelațiile corespunzătoare </w:t>
            </w:r>
            <w:r w:rsidRPr="00C8547D">
              <w:rPr>
                <w:i/>
                <w:iCs/>
                <w:sz w:val="18"/>
                <w:szCs w:val="18"/>
                <w:lang w:val="ro-MD"/>
              </w:rPr>
              <w:t>γ</w:t>
            </w:r>
            <w:r w:rsidRPr="00C8547D">
              <w:rPr>
                <w:i/>
                <w:iCs/>
                <w:sz w:val="18"/>
                <w:szCs w:val="18"/>
                <w:vertAlign w:val="subscript"/>
                <w:lang w:val="ro-MD"/>
              </w:rPr>
              <w:t>bc</w:t>
            </w:r>
            <w:r w:rsidRPr="00C8547D">
              <w:rPr>
                <w:i/>
                <w:iCs/>
                <w:sz w:val="18"/>
                <w:szCs w:val="18"/>
                <w:lang w:val="ro-MD"/>
              </w:rPr>
              <w:t> </w:t>
            </w:r>
            <w:r w:rsidRPr="00C8547D">
              <w:rPr>
                <w:sz w:val="18"/>
                <w:szCs w:val="18"/>
                <w:lang w:val="ro-MD"/>
              </w:rPr>
              <w:t>pentru sensibilitățile ponderate din diferitele benzi prevăzute la punctele 75-77, 83, 84, 92, 101, 102, 108, 111 și 112 obținându-se cerințele de fonduri proprii specifice unei clase de risc pentru riscul delta sau vega:</w:t>
            </w:r>
          </w:p>
          <w:p w14:paraId="2A4F617A" w14:textId="77777777" w:rsidR="00E87412" w:rsidRPr="002460E2" w:rsidRDefault="00E87412" w:rsidP="00E87412">
            <w:pPr>
              <w:pStyle w:val="ListParagraph"/>
              <w:tabs>
                <w:tab w:val="left" w:pos="851"/>
                <w:tab w:val="left" w:pos="993"/>
              </w:tabs>
              <w:ind w:left="0" w:firstLine="426"/>
              <w:jc w:val="center"/>
              <w:rPr>
                <w:sz w:val="18"/>
                <w:szCs w:val="18"/>
                <w:lang w:val="ro-MD"/>
              </w:rPr>
            </w:pPr>
            <w:r w:rsidRPr="002460E2">
              <w:rPr>
                <w:noProof/>
                <w:sz w:val="18"/>
                <w:szCs w:val="18"/>
                <w:lang w:val="ro-MD"/>
              </w:rPr>
              <w:drawing>
                <wp:inline distT="0" distB="0" distL="0" distR="0" wp14:anchorId="713CDFEF" wp14:editId="1B5AE8DD">
                  <wp:extent cx="1706291" cy="257175"/>
                  <wp:effectExtent l="0" t="0" r="8255" b="0"/>
                  <wp:docPr id="102"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665" cy="258286"/>
                          </a:xfrm>
                          <a:prstGeom prst="rect">
                            <a:avLst/>
                          </a:prstGeom>
                          <a:noFill/>
                          <a:ln>
                            <a:noFill/>
                          </a:ln>
                        </pic:spPr>
                      </pic:pic>
                    </a:graphicData>
                  </a:graphic>
                </wp:inline>
              </w:drawing>
            </w:r>
          </w:p>
          <w:p w14:paraId="425B5BB6" w14:textId="77777777" w:rsidR="00E87412" w:rsidRPr="002460E2" w:rsidRDefault="00E87412" w:rsidP="00E87412">
            <w:pPr>
              <w:pStyle w:val="ListParagraph"/>
              <w:tabs>
                <w:tab w:val="left" w:pos="851"/>
                <w:tab w:val="left" w:pos="993"/>
              </w:tabs>
              <w:ind w:left="0" w:firstLine="426"/>
              <w:jc w:val="both"/>
              <w:rPr>
                <w:sz w:val="18"/>
                <w:szCs w:val="18"/>
                <w:lang w:val="ro-MD"/>
              </w:rPr>
            </w:pPr>
            <w:r w:rsidRPr="002460E2">
              <w:rPr>
                <w:sz w:val="18"/>
                <w:szCs w:val="18"/>
                <w:lang w:val="ro-MD"/>
              </w:rPr>
              <w:t>unde:</w:t>
            </w:r>
          </w:p>
          <w:tbl>
            <w:tblPr>
              <w:tblW w:w="5047" w:type="pct"/>
              <w:tblLayout w:type="fixed"/>
              <w:tblCellMar>
                <w:left w:w="0" w:type="dxa"/>
                <w:right w:w="0" w:type="dxa"/>
              </w:tblCellMar>
              <w:tblLook w:val="04A0" w:firstRow="1" w:lastRow="0" w:firstColumn="1" w:lastColumn="0" w:noHBand="0" w:noVBand="1"/>
            </w:tblPr>
            <w:tblGrid>
              <w:gridCol w:w="203"/>
              <w:gridCol w:w="3299"/>
            </w:tblGrid>
            <w:tr w:rsidR="00E87412" w:rsidRPr="002460E2" w14:paraId="4762B613" w14:textId="77777777" w:rsidTr="002620A5">
              <w:tc>
                <w:tcPr>
                  <w:tcW w:w="290" w:type="pct"/>
                  <w:shd w:val="clear" w:color="auto" w:fill="auto"/>
                  <w:hideMark/>
                </w:tcPr>
                <w:p w14:paraId="45DA3F84" w14:textId="77777777" w:rsidR="00E87412" w:rsidRPr="002460E2" w:rsidRDefault="00E87412" w:rsidP="00E87412">
                  <w:pPr>
                    <w:pStyle w:val="ListParagraph"/>
                    <w:tabs>
                      <w:tab w:val="left" w:pos="851"/>
                      <w:tab w:val="left" w:pos="993"/>
                    </w:tabs>
                    <w:ind w:left="0"/>
                    <w:jc w:val="both"/>
                    <w:rPr>
                      <w:sz w:val="18"/>
                      <w:szCs w:val="18"/>
                      <w:lang w:val="ro-MD"/>
                    </w:rPr>
                  </w:pPr>
                  <w:r w:rsidRPr="002460E2">
                    <w:rPr>
                      <w:i/>
                      <w:iCs/>
                      <w:sz w:val="18"/>
                      <w:szCs w:val="18"/>
                      <w:lang w:val="ro-MD"/>
                    </w:rPr>
                    <w:t>m</w:t>
                  </w:r>
                  <w:r w:rsidRPr="002460E2">
                    <w:rPr>
                      <w:i/>
                      <w:iCs/>
                      <w:sz w:val="18"/>
                      <w:szCs w:val="18"/>
                      <w:vertAlign w:val="subscript"/>
                      <w:lang w:val="ro-MD"/>
                    </w:rPr>
                    <w:t>CVA</w:t>
                  </w:r>
                </w:p>
              </w:tc>
              <w:tc>
                <w:tcPr>
                  <w:tcW w:w="9212" w:type="dxa"/>
                  <w:shd w:val="clear" w:color="auto" w:fill="auto"/>
                  <w:hideMark/>
                </w:tcPr>
                <w:p w14:paraId="60C38218" w14:textId="77777777" w:rsidR="00E87412" w:rsidRPr="002460E2" w:rsidRDefault="00E87412" w:rsidP="00E87412">
                  <w:pPr>
                    <w:pStyle w:val="ListParagraph"/>
                    <w:tabs>
                      <w:tab w:val="left" w:pos="851"/>
                      <w:tab w:val="left" w:pos="993"/>
                    </w:tabs>
                    <w:ind w:left="0"/>
                    <w:jc w:val="both"/>
                    <w:rPr>
                      <w:sz w:val="18"/>
                      <w:szCs w:val="18"/>
                      <w:lang w:val="ro-MD"/>
                    </w:rPr>
                  </w:pPr>
                  <w:r w:rsidRPr="002460E2">
                    <w:rPr>
                      <w:sz w:val="18"/>
                      <w:szCs w:val="18"/>
                      <w:lang w:val="ro-MD"/>
                    </w:rPr>
                    <w:t>= un factor de multiplicare egal cu 1; Banca Națională a Moldovei poate majora valoarea </w:t>
                  </w:r>
                  <w:r w:rsidRPr="002460E2">
                    <w:rPr>
                      <w:i/>
                      <w:iCs/>
                      <w:sz w:val="18"/>
                      <w:szCs w:val="18"/>
                      <w:lang w:val="ro-MD"/>
                    </w:rPr>
                    <w:t>m</w:t>
                  </w:r>
                  <w:r w:rsidRPr="002460E2">
                    <w:rPr>
                      <w:i/>
                      <w:iCs/>
                      <w:sz w:val="18"/>
                      <w:szCs w:val="18"/>
                      <w:vertAlign w:val="subscript"/>
                      <w:lang w:val="ro-MD"/>
                    </w:rPr>
                    <w:t>CVA</w:t>
                  </w:r>
                  <w:r w:rsidRPr="002460E2">
                    <w:rPr>
                      <w:i/>
                      <w:iCs/>
                      <w:sz w:val="18"/>
                      <w:szCs w:val="18"/>
                      <w:lang w:val="ro-MD"/>
                    </w:rPr>
                    <w:t> </w:t>
                  </w:r>
                  <w:r w:rsidRPr="002460E2">
                    <w:rPr>
                      <w:sz w:val="18"/>
                      <w:szCs w:val="18"/>
                      <w:lang w:val="ro-MD"/>
                    </w:rPr>
                    <w:t xml:space="preserve">în cazul în care modelul de CVA reglementară al băncii prezintă </w:t>
                  </w:r>
                  <w:r w:rsidRPr="002460E2">
                    <w:rPr>
                      <w:sz w:val="18"/>
                      <w:szCs w:val="18"/>
                      <w:lang w:val="ro-MD"/>
                    </w:rPr>
                    <w:lastRenderedPageBreak/>
                    <w:t>deficiențe care împiedică măsurarea corespunzătoare a cerințelor de fonduri proprii pentru riscul CVA;</w:t>
                  </w:r>
                </w:p>
              </w:tc>
            </w:tr>
          </w:tbl>
          <w:p w14:paraId="30EFCB33" w14:textId="77777777" w:rsidR="00E87412" w:rsidRPr="002460E2" w:rsidRDefault="00E87412" w:rsidP="00E87412">
            <w:pPr>
              <w:pStyle w:val="ListParagraph"/>
              <w:tabs>
                <w:tab w:val="left" w:pos="851"/>
                <w:tab w:val="left" w:pos="993"/>
              </w:tabs>
              <w:ind w:left="0" w:firstLine="426"/>
              <w:jc w:val="both"/>
              <w:rPr>
                <w:vanish/>
                <w:sz w:val="18"/>
                <w:szCs w:val="18"/>
                <w:lang w:val="ro-MD"/>
              </w:rPr>
            </w:pPr>
          </w:p>
          <w:tbl>
            <w:tblPr>
              <w:tblW w:w="5046" w:type="pct"/>
              <w:tblLayout w:type="fixed"/>
              <w:tblCellMar>
                <w:left w:w="0" w:type="dxa"/>
                <w:right w:w="0" w:type="dxa"/>
              </w:tblCellMar>
              <w:tblLook w:val="04A0" w:firstRow="1" w:lastRow="0" w:firstColumn="1" w:lastColumn="0" w:noHBand="0" w:noVBand="1"/>
            </w:tblPr>
            <w:tblGrid>
              <w:gridCol w:w="203"/>
              <w:gridCol w:w="3298"/>
            </w:tblGrid>
            <w:tr w:rsidR="00E87412" w:rsidRPr="002460E2" w14:paraId="267B9062" w14:textId="77777777" w:rsidTr="002620A5">
              <w:tc>
                <w:tcPr>
                  <w:tcW w:w="290" w:type="pct"/>
                  <w:shd w:val="clear" w:color="auto" w:fill="auto"/>
                  <w:hideMark/>
                </w:tcPr>
                <w:p w14:paraId="7A532443" w14:textId="77777777" w:rsidR="00E87412" w:rsidRPr="002460E2" w:rsidRDefault="00E87412" w:rsidP="00E87412">
                  <w:pPr>
                    <w:pStyle w:val="ListParagraph"/>
                    <w:tabs>
                      <w:tab w:val="left" w:pos="851"/>
                      <w:tab w:val="left" w:pos="993"/>
                    </w:tabs>
                    <w:ind w:left="0"/>
                    <w:jc w:val="both"/>
                    <w:rPr>
                      <w:sz w:val="18"/>
                      <w:szCs w:val="18"/>
                      <w:lang w:val="ro-MD"/>
                    </w:rPr>
                  </w:pPr>
                  <w:r w:rsidRPr="002460E2">
                    <w:rPr>
                      <w:i/>
                      <w:iCs/>
                      <w:sz w:val="18"/>
                      <w:szCs w:val="18"/>
                      <w:lang w:val="ro-MD"/>
                    </w:rPr>
                    <w:t>K</w:t>
                  </w:r>
                  <w:r w:rsidRPr="002460E2">
                    <w:rPr>
                      <w:i/>
                      <w:iCs/>
                      <w:sz w:val="18"/>
                      <w:szCs w:val="18"/>
                      <w:vertAlign w:val="subscript"/>
                      <w:lang w:val="ro-MD"/>
                    </w:rPr>
                    <w:t>b</w:t>
                  </w:r>
                </w:p>
              </w:tc>
              <w:tc>
                <w:tcPr>
                  <w:tcW w:w="9210" w:type="dxa"/>
                  <w:shd w:val="clear" w:color="auto" w:fill="auto"/>
                  <w:hideMark/>
                </w:tcPr>
                <w:p w14:paraId="62A31C25" w14:textId="77777777" w:rsidR="00E87412" w:rsidRPr="002460E2" w:rsidRDefault="00E87412" w:rsidP="00E87412">
                  <w:pPr>
                    <w:pStyle w:val="ListParagraph"/>
                    <w:tabs>
                      <w:tab w:val="left" w:pos="851"/>
                      <w:tab w:val="left" w:pos="993"/>
                    </w:tabs>
                    <w:ind w:left="4"/>
                    <w:jc w:val="both"/>
                    <w:rPr>
                      <w:sz w:val="18"/>
                      <w:szCs w:val="18"/>
                      <w:lang w:val="ro-MD"/>
                    </w:rPr>
                  </w:pPr>
                  <w:r w:rsidRPr="002460E2">
                    <w:rPr>
                      <w:sz w:val="18"/>
                      <w:szCs w:val="18"/>
                      <w:lang w:val="ro-MD"/>
                    </w:rPr>
                    <w:t>= sensibilitatea specifică benzii pentru banda b;</w:t>
                  </w:r>
                </w:p>
              </w:tc>
            </w:tr>
          </w:tbl>
          <w:p w14:paraId="6D5ECA61" w14:textId="77777777" w:rsidR="00E87412" w:rsidRPr="002460E2" w:rsidRDefault="00E87412" w:rsidP="00E87412">
            <w:pPr>
              <w:pStyle w:val="ListParagraph"/>
              <w:tabs>
                <w:tab w:val="left" w:pos="851"/>
                <w:tab w:val="left" w:pos="993"/>
              </w:tabs>
              <w:ind w:left="0" w:firstLine="426"/>
              <w:jc w:val="both"/>
              <w:rPr>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188"/>
              <w:gridCol w:w="3281"/>
            </w:tblGrid>
            <w:tr w:rsidR="00E87412" w:rsidRPr="002460E2" w14:paraId="0022A9ED" w14:textId="77777777" w:rsidTr="002620A5">
              <w:tc>
                <w:tcPr>
                  <w:tcW w:w="271" w:type="pct"/>
                  <w:shd w:val="clear" w:color="auto" w:fill="auto"/>
                  <w:hideMark/>
                </w:tcPr>
                <w:p w14:paraId="6886CFB7" w14:textId="77777777" w:rsidR="00E87412" w:rsidRPr="002460E2" w:rsidRDefault="00E87412" w:rsidP="00E87412">
                  <w:pPr>
                    <w:pStyle w:val="ListParagraph"/>
                    <w:tabs>
                      <w:tab w:val="left" w:pos="526"/>
                    </w:tabs>
                    <w:ind w:left="0"/>
                    <w:jc w:val="both"/>
                    <w:rPr>
                      <w:sz w:val="18"/>
                      <w:szCs w:val="18"/>
                      <w:lang w:val="ro-MD"/>
                    </w:rPr>
                  </w:pPr>
                  <w:r w:rsidRPr="002460E2">
                    <w:rPr>
                      <w:i/>
                      <w:iCs/>
                      <w:sz w:val="18"/>
                      <w:szCs w:val="18"/>
                      <w:lang w:val="ro-MD"/>
                    </w:rPr>
                    <w:t>γ</w:t>
                  </w:r>
                  <w:r w:rsidRPr="002460E2">
                    <w:rPr>
                      <w:i/>
                      <w:iCs/>
                      <w:sz w:val="18"/>
                      <w:szCs w:val="18"/>
                      <w:vertAlign w:val="subscript"/>
                      <w:lang w:val="ro-MD"/>
                    </w:rPr>
                    <w:t>bc</w:t>
                  </w:r>
                </w:p>
              </w:tc>
              <w:tc>
                <w:tcPr>
                  <w:tcW w:w="9163" w:type="dxa"/>
                  <w:shd w:val="clear" w:color="auto" w:fill="auto"/>
                  <w:hideMark/>
                </w:tcPr>
                <w:p w14:paraId="16DB8FA7" w14:textId="77777777" w:rsidR="00E87412" w:rsidRPr="002460E2" w:rsidRDefault="00E87412" w:rsidP="00E87412">
                  <w:pPr>
                    <w:pStyle w:val="ListParagraph"/>
                    <w:tabs>
                      <w:tab w:val="left" w:pos="851"/>
                      <w:tab w:val="left" w:pos="993"/>
                    </w:tabs>
                    <w:ind w:left="0"/>
                    <w:jc w:val="both"/>
                    <w:rPr>
                      <w:sz w:val="18"/>
                      <w:szCs w:val="18"/>
                      <w:lang w:val="ro-MD"/>
                    </w:rPr>
                  </w:pPr>
                  <w:r w:rsidRPr="002460E2">
                    <w:rPr>
                      <w:sz w:val="18"/>
                      <w:szCs w:val="18"/>
                      <w:lang w:val="ro-MD"/>
                    </w:rPr>
                    <w:t>= parametrul de corelație între benzile b și c;</w:t>
                  </w:r>
                </w:p>
              </w:tc>
            </w:tr>
          </w:tbl>
          <w:p w14:paraId="4CDD9BAC" w14:textId="77777777" w:rsidR="00E87412" w:rsidRPr="002460E2" w:rsidRDefault="00E87412" w:rsidP="00E87412">
            <w:pPr>
              <w:pStyle w:val="ListParagraph"/>
              <w:tabs>
                <w:tab w:val="left" w:pos="851"/>
                <w:tab w:val="left" w:pos="993"/>
              </w:tabs>
              <w:ind w:left="0" w:firstLine="426"/>
              <w:jc w:val="both"/>
              <w:rPr>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1955"/>
              <w:gridCol w:w="1514"/>
            </w:tblGrid>
            <w:tr w:rsidR="00E87412" w:rsidRPr="002460E2" w14:paraId="44914748" w14:textId="77777777" w:rsidTr="002620A5">
              <w:tc>
                <w:tcPr>
                  <w:tcW w:w="5465" w:type="dxa"/>
                  <w:shd w:val="clear" w:color="auto" w:fill="auto"/>
                  <w:hideMark/>
                </w:tcPr>
                <w:p w14:paraId="6CAA06A0" w14:textId="77777777" w:rsidR="00E87412" w:rsidRPr="002460E2" w:rsidRDefault="00E87412" w:rsidP="00E87412">
                  <w:pPr>
                    <w:pStyle w:val="ListParagraph"/>
                    <w:tabs>
                      <w:tab w:val="left" w:pos="851"/>
                      <w:tab w:val="left" w:pos="993"/>
                    </w:tabs>
                    <w:ind w:left="0" w:firstLine="426"/>
                    <w:jc w:val="both"/>
                    <w:rPr>
                      <w:sz w:val="18"/>
                      <w:szCs w:val="18"/>
                      <w:lang w:val="ro-MD"/>
                    </w:rPr>
                  </w:pPr>
                  <w:r w:rsidRPr="002460E2">
                    <w:rPr>
                      <w:noProof/>
                      <w:sz w:val="18"/>
                      <w:szCs w:val="18"/>
                      <w:lang w:val="ro-MD"/>
                    </w:rPr>
                    <w:drawing>
                      <wp:inline distT="0" distB="0" distL="0" distR="0" wp14:anchorId="740A500D" wp14:editId="4A3A701E">
                        <wp:extent cx="946387" cy="200025"/>
                        <wp:effectExtent l="0" t="0" r="6350" b="0"/>
                        <wp:docPr id="103"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1037" cy="203121"/>
                                </a:xfrm>
                                <a:prstGeom prst="rect">
                                  <a:avLst/>
                                </a:prstGeom>
                                <a:noFill/>
                                <a:ln>
                                  <a:noFill/>
                                </a:ln>
                              </pic:spPr>
                            </pic:pic>
                          </a:graphicData>
                        </a:graphic>
                      </wp:inline>
                    </w:drawing>
                  </w:r>
                </w:p>
              </w:tc>
              <w:tc>
                <w:tcPr>
                  <w:tcW w:w="4223" w:type="dxa"/>
                  <w:shd w:val="clear" w:color="auto" w:fill="auto"/>
                  <w:hideMark/>
                </w:tcPr>
                <w:p w14:paraId="51CD1AFD" w14:textId="77777777" w:rsidR="00E87412" w:rsidRPr="002460E2" w:rsidRDefault="00E87412" w:rsidP="00E87412">
                  <w:pPr>
                    <w:pStyle w:val="ListParagraph"/>
                    <w:tabs>
                      <w:tab w:val="left" w:pos="851"/>
                      <w:tab w:val="left" w:pos="993"/>
                    </w:tabs>
                    <w:ind w:left="0" w:firstLine="426"/>
                    <w:jc w:val="both"/>
                    <w:rPr>
                      <w:sz w:val="18"/>
                      <w:szCs w:val="18"/>
                      <w:lang w:val="ro-MD"/>
                    </w:rPr>
                  </w:pPr>
                  <w:r w:rsidRPr="002460E2">
                    <w:rPr>
                      <w:sz w:val="18"/>
                      <w:szCs w:val="18"/>
                      <w:lang w:val="ro-MD"/>
                    </w:rPr>
                    <w:t>pentru toți factorii de risc din banda b;</w:t>
                  </w:r>
                </w:p>
              </w:tc>
            </w:tr>
          </w:tbl>
          <w:p w14:paraId="14687A2A" w14:textId="77777777" w:rsidR="00E87412" w:rsidRPr="002460E2" w:rsidRDefault="00E87412" w:rsidP="00E87412">
            <w:pPr>
              <w:pStyle w:val="ListParagraph"/>
              <w:tabs>
                <w:tab w:val="left" w:pos="851"/>
                <w:tab w:val="left" w:pos="993"/>
              </w:tabs>
              <w:ind w:left="0" w:firstLine="426"/>
              <w:jc w:val="both"/>
              <w:rPr>
                <w:vanish/>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1960"/>
              <w:gridCol w:w="1509"/>
            </w:tblGrid>
            <w:tr w:rsidR="00E87412" w:rsidRPr="002460E2" w14:paraId="2E864CCB" w14:textId="77777777" w:rsidTr="002620A5">
              <w:tc>
                <w:tcPr>
                  <w:tcW w:w="5478" w:type="dxa"/>
                  <w:shd w:val="clear" w:color="auto" w:fill="auto"/>
                  <w:hideMark/>
                </w:tcPr>
                <w:p w14:paraId="07234B0B" w14:textId="77777777" w:rsidR="00E87412" w:rsidRPr="002460E2" w:rsidRDefault="00E87412" w:rsidP="00E87412">
                  <w:pPr>
                    <w:pStyle w:val="ListParagraph"/>
                    <w:tabs>
                      <w:tab w:val="left" w:pos="851"/>
                      <w:tab w:val="left" w:pos="993"/>
                    </w:tabs>
                    <w:ind w:left="0" w:firstLine="426"/>
                    <w:jc w:val="both"/>
                    <w:rPr>
                      <w:sz w:val="18"/>
                      <w:szCs w:val="18"/>
                      <w:lang w:val="ro-MD"/>
                    </w:rPr>
                  </w:pPr>
                  <w:r w:rsidRPr="002460E2">
                    <w:rPr>
                      <w:noProof/>
                      <w:sz w:val="18"/>
                      <w:szCs w:val="18"/>
                      <w:lang w:val="ro-MD"/>
                    </w:rPr>
                    <w:drawing>
                      <wp:inline distT="0" distB="0" distL="0" distR="0" wp14:anchorId="0DB95232" wp14:editId="7056FDB5">
                        <wp:extent cx="933450" cy="197291"/>
                        <wp:effectExtent l="0" t="0" r="0" b="0"/>
                        <wp:docPr id="104"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4007" cy="203749"/>
                                </a:xfrm>
                                <a:prstGeom prst="rect">
                                  <a:avLst/>
                                </a:prstGeom>
                                <a:noFill/>
                                <a:ln>
                                  <a:noFill/>
                                </a:ln>
                              </pic:spPr>
                            </pic:pic>
                          </a:graphicData>
                        </a:graphic>
                      </wp:inline>
                    </w:drawing>
                  </w:r>
                </w:p>
              </w:tc>
              <w:tc>
                <w:tcPr>
                  <w:tcW w:w="4210" w:type="dxa"/>
                  <w:shd w:val="clear" w:color="auto" w:fill="auto"/>
                  <w:hideMark/>
                </w:tcPr>
                <w:p w14:paraId="700297CB" w14:textId="77777777" w:rsidR="00E87412" w:rsidRPr="002460E2" w:rsidRDefault="00E87412" w:rsidP="00E87412">
                  <w:pPr>
                    <w:pStyle w:val="ListParagraph"/>
                    <w:tabs>
                      <w:tab w:val="left" w:pos="851"/>
                      <w:tab w:val="left" w:pos="993"/>
                    </w:tabs>
                    <w:ind w:left="0" w:firstLine="426"/>
                    <w:jc w:val="both"/>
                    <w:rPr>
                      <w:sz w:val="18"/>
                      <w:szCs w:val="18"/>
                      <w:lang w:val="ro-MD"/>
                    </w:rPr>
                  </w:pPr>
                  <w:r w:rsidRPr="002460E2">
                    <w:rPr>
                      <w:sz w:val="18"/>
                      <w:szCs w:val="18"/>
                      <w:lang w:val="ro-MD"/>
                    </w:rPr>
                    <w:t>pentru toți factorii de risc din banda c.</w:t>
                  </w:r>
                </w:p>
              </w:tc>
            </w:tr>
          </w:tbl>
          <w:p w14:paraId="72EE0314"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en-US" w:eastAsia="en-US"/>
                <w14:ligatures w14:val="standardContextual"/>
              </w:rPr>
            </w:pPr>
          </w:p>
        </w:tc>
        <w:tc>
          <w:tcPr>
            <w:tcW w:w="1229" w:type="dxa"/>
          </w:tcPr>
          <w:p w14:paraId="2FF909CE" w14:textId="093C0E87"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 xml:space="preserve">ompatibil </w:t>
            </w:r>
          </w:p>
        </w:tc>
        <w:tc>
          <w:tcPr>
            <w:tcW w:w="5292" w:type="dxa"/>
            <w:tcBorders>
              <w:top w:val="single" w:sz="4" w:space="0" w:color="auto"/>
              <w:bottom w:val="single" w:sz="4" w:space="0" w:color="auto"/>
            </w:tcBorders>
          </w:tcPr>
          <w:p w14:paraId="350FA150" w14:textId="3E236E9B" w:rsidR="008D7F28" w:rsidRPr="002460E2" w:rsidRDefault="008D7F28" w:rsidP="008D7F28">
            <w:pPr>
              <w:rPr>
                <w:sz w:val="18"/>
                <w:szCs w:val="18"/>
                <w:lang w:val="ro-MD"/>
              </w:rPr>
            </w:pPr>
          </w:p>
        </w:tc>
      </w:tr>
      <w:tr w:rsidR="008D7F28" w:rsidRPr="002460E2" w14:paraId="6D2A14F5" w14:textId="77777777" w:rsidTr="003F5B3C">
        <w:trPr>
          <w:trHeight w:val="918"/>
        </w:trPr>
        <w:tc>
          <w:tcPr>
            <w:tcW w:w="4253" w:type="dxa"/>
          </w:tcPr>
          <w:p w14:paraId="7ED7712F" w14:textId="77777777" w:rsidR="008D7F28" w:rsidRPr="002460E2" w:rsidRDefault="008D7F28" w:rsidP="008D7F28">
            <w:pPr>
              <w:rPr>
                <w:i/>
                <w:iCs/>
                <w:sz w:val="18"/>
                <w:szCs w:val="18"/>
                <w:lang w:val="en-US"/>
              </w:rPr>
            </w:pPr>
            <w:r w:rsidRPr="002460E2">
              <w:rPr>
                <w:i/>
                <w:iCs/>
                <w:sz w:val="18"/>
                <w:szCs w:val="18"/>
                <w:lang w:val="en-US"/>
              </w:rPr>
              <w:t>Articolul 383c</w:t>
            </w:r>
          </w:p>
          <w:p w14:paraId="2A1E0BFD" w14:textId="77777777" w:rsidR="008D7F28" w:rsidRPr="002460E2" w:rsidRDefault="008D7F28" w:rsidP="008D7F28">
            <w:pPr>
              <w:rPr>
                <w:b/>
                <w:bCs/>
                <w:sz w:val="18"/>
                <w:szCs w:val="18"/>
                <w:lang w:val="en-US"/>
              </w:rPr>
            </w:pPr>
            <w:r w:rsidRPr="002460E2">
              <w:rPr>
                <w:b/>
                <w:bCs/>
                <w:sz w:val="18"/>
                <w:szCs w:val="18"/>
                <w:lang w:val="en-US"/>
              </w:rPr>
              <w:t>Factorii de risc de rată a dobânzii</w:t>
            </w:r>
          </w:p>
          <w:p w14:paraId="7A42116B" w14:textId="71A37411" w:rsidR="008D7F28" w:rsidRPr="002460E2" w:rsidRDefault="008D7F28" w:rsidP="008D7F28">
            <w:pPr>
              <w:rPr>
                <w:sz w:val="18"/>
                <w:szCs w:val="18"/>
                <w:lang w:val="en-US"/>
              </w:rPr>
            </w:pPr>
            <w:r w:rsidRPr="002460E2">
              <w:rPr>
                <w:sz w:val="18"/>
                <w:szCs w:val="18"/>
                <w:lang w:val="en-US"/>
              </w:rPr>
              <w:t>(1) Pentru factorii de risc de rată a dobânzii delta, inclusiv riscul de rată a inflației, există o bandă pentru fiecare monedă, iar fiecare bandă cuprinde diferite tipuri de factori de risc.</w:t>
            </w:r>
          </w:p>
          <w:p w14:paraId="53A3359F" w14:textId="77777777" w:rsidR="008D7F28" w:rsidRPr="002460E2" w:rsidRDefault="008D7F28" w:rsidP="008D7F28">
            <w:pPr>
              <w:rPr>
                <w:sz w:val="18"/>
                <w:szCs w:val="18"/>
                <w:lang w:val="en-US"/>
              </w:rPr>
            </w:pPr>
            <w:r w:rsidRPr="002460E2">
              <w:rPr>
                <w:sz w:val="18"/>
                <w:szCs w:val="18"/>
                <w:lang w:val="en-US"/>
              </w:rPr>
              <w:t>Factorii de risc de rată a dobânzii delta aplicabili instrumentelor sensibile la rata dobânzii din portofoliul CVA sunt ratele fără risc pentru fiecare monedă vizată și pentru fiecare dintre următoarele scadențe: 1 an, 2 ani, 5 ani, 10 ani și 30 de ani.</w:t>
            </w:r>
          </w:p>
          <w:p w14:paraId="6E3250C0" w14:textId="66083D42" w:rsidR="008D7F28" w:rsidRPr="002460E2" w:rsidRDefault="008D7F28" w:rsidP="008D7F28">
            <w:pPr>
              <w:rPr>
                <w:sz w:val="18"/>
                <w:szCs w:val="18"/>
                <w:lang w:val="en-US"/>
              </w:rPr>
            </w:pPr>
            <w:r w:rsidRPr="002460E2">
              <w:rPr>
                <w:sz w:val="18"/>
                <w:szCs w:val="18"/>
                <w:lang w:val="en-US"/>
              </w:rPr>
              <w:t>Factorii de risc de rată a dobânzii delta aplicabili instrumentelor sensibile la rata inflației din portofoliul CVA sunt ratele inflației pentru fiecare monedă vizată și pentru fiecare dintre următoarele scadențe: 1 an, 2 ani, 5 ani, 10 ani și 30 de ani.</w:t>
            </w:r>
          </w:p>
        </w:tc>
        <w:tc>
          <w:tcPr>
            <w:tcW w:w="3685" w:type="dxa"/>
            <w:shd w:val="clear" w:color="auto" w:fill="auto"/>
          </w:tcPr>
          <w:p w14:paraId="1523491D" w14:textId="77777777" w:rsidR="000A5A50" w:rsidRPr="002460E2" w:rsidRDefault="000A5A50" w:rsidP="000A5A50">
            <w:pPr>
              <w:pStyle w:val="ListParagraph"/>
              <w:ind w:left="31"/>
              <w:jc w:val="center"/>
              <w:rPr>
                <w:i/>
                <w:iCs/>
                <w:sz w:val="18"/>
                <w:szCs w:val="18"/>
                <w:lang w:val="ro-MD"/>
              </w:rPr>
            </w:pPr>
            <w:r w:rsidRPr="002460E2">
              <w:rPr>
                <w:i/>
                <w:iCs/>
                <w:sz w:val="18"/>
                <w:szCs w:val="18"/>
                <w:lang w:val="ro-MD"/>
              </w:rPr>
              <w:t>Secțiunea a 4-a</w:t>
            </w:r>
          </w:p>
          <w:p w14:paraId="05B89C1B" w14:textId="77777777" w:rsidR="000A5A50" w:rsidRPr="002460E2" w:rsidRDefault="000A5A50" w:rsidP="000A5A50">
            <w:pPr>
              <w:pStyle w:val="ListParagraph"/>
              <w:tabs>
                <w:tab w:val="left" w:pos="426"/>
                <w:tab w:val="left" w:pos="993"/>
              </w:tabs>
              <w:ind w:left="31"/>
              <w:jc w:val="center"/>
              <w:rPr>
                <w:b/>
                <w:bCs/>
                <w:sz w:val="18"/>
                <w:szCs w:val="18"/>
                <w:lang w:val="ro-MD"/>
              </w:rPr>
            </w:pPr>
            <w:r w:rsidRPr="002460E2">
              <w:rPr>
                <w:b/>
                <w:bCs/>
                <w:sz w:val="18"/>
                <w:szCs w:val="18"/>
                <w:lang w:val="ro-MD"/>
              </w:rPr>
              <w:t>Factorii de risc de rată a dobânzii</w:t>
            </w:r>
          </w:p>
          <w:p w14:paraId="277C1468" w14:textId="77777777" w:rsidR="00C8547D" w:rsidRPr="00C8547D" w:rsidRDefault="00C8547D" w:rsidP="00C8547D">
            <w:pPr>
              <w:pStyle w:val="ListParagraph"/>
              <w:ind w:left="31"/>
              <w:rPr>
                <w:sz w:val="18"/>
                <w:szCs w:val="18"/>
                <w:lang w:val="ro-MD"/>
              </w:rPr>
            </w:pPr>
            <w:r w:rsidRPr="00C8547D">
              <w:rPr>
                <w:sz w:val="18"/>
                <w:szCs w:val="18"/>
                <w:lang w:val="ro-MD"/>
              </w:rPr>
              <w:t>41. Pentru factorii de risc de rată a dobânzii delta, inclusiv riscul de rată a inflației, există o bandă pentru fiecare monedă, iar fiecare bandă cuprinde diferite tipuri de factori de risc.</w:t>
            </w:r>
          </w:p>
          <w:p w14:paraId="5E27AC0E" w14:textId="77777777" w:rsidR="00C8547D" w:rsidRPr="00C8547D" w:rsidRDefault="00C8547D" w:rsidP="00C8547D">
            <w:pPr>
              <w:pStyle w:val="ListParagraph"/>
              <w:ind w:left="31"/>
              <w:rPr>
                <w:sz w:val="18"/>
                <w:szCs w:val="18"/>
                <w:lang w:val="ro-MD"/>
              </w:rPr>
            </w:pPr>
            <w:r w:rsidRPr="00C8547D">
              <w:rPr>
                <w:sz w:val="18"/>
                <w:szCs w:val="18"/>
                <w:lang w:val="ro-MD"/>
              </w:rPr>
              <w:t>42. Factorii de risc de rată a dobânzii delta aplicabili instrumentelor sensibile la rata dobânzii din portofoliul CVA sunt ratele fără risc pentru fiecare monedă vizată și pentru fiecare dintre următoarele scadențe: 1 an, 2 ani, 5 ani, 10 ani și 30 de ani.</w:t>
            </w:r>
          </w:p>
          <w:p w14:paraId="33007080" w14:textId="77777777" w:rsidR="00C8547D" w:rsidRPr="00C8547D" w:rsidRDefault="00C8547D" w:rsidP="00C8547D">
            <w:pPr>
              <w:pStyle w:val="ListParagraph"/>
              <w:ind w:left="31"/>
              <w:rPr>
                <w:sz w:val="18"/>
                <w:szCs w:val="18"/>
                <w:lang w:val="ro-MD"/>
              </w:rPr>
            </w:pPr>
            <w:r w:rsidRPr="00C8547D">
              <w:rPr>
                <w:sz w:val="18"/>
                <w:szCs w:val="18"/>
                <w:lang w:val="ro-MD"/>
              </w:rPr>
              <w:t>43. Factorii de risc de rată a dobânzii delta aplicabili instrumentelor sensibile la rata inflației din portofoliul CVA sunt ratele inflației pentru fiecare monedă vizată și pentru fiecare dintre următoarele scadențe: 1 an, 2 ani, 5 ani, 10 ani și 30 de ani.</w:t>
            </w:r>
          </w:p>
          <w:p w14:paraId="1B50D967"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07B0FD71" w14:textId="6263CE6D"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5400DC95" w14:textId="77777777" w:rsidR="008D7F28" w:rsidRPr="002460E2" w:rsidRDefault="008D7F28" w:rsidP="008D7F28">
            <w:pPr>
              <w:jc w:val="both"/>
              <w:rPr>
                <w:sz w:val="18"/>
                <w:szCs w:val="18"/>
                <w:lang w:val="ro-MD"/>
              </w:rPr>
            </w:pPr>
          </w:p>
        </w:tc>
      </w:tr>
      <w:tr w:rsidR="008D7F28" w:rsidRPr="002460E2" w14:paraId="4DC750C3" w14:textId="77777777" w:rsidTr="003F5B3C">
        <w:trPr>
          <w:trHeight w:val="918"/>
        </w:trPr>
        <w:tc>
          <w:tcPr>
            <w:tcW w:w="4253" w:type="dxa"/>
          </w:tcPr>
          <w:p w14:paraId="6EEBE9F1" w14:textId="3B5566F0" w:rsidR="008D7F28" w:rsidRPr="002460E2" w:rsidRDefault="008D7F28" w:rsidP="008D7F28">
            <w:pPr>
              <w:rPr>
                <w:sz w:val="18"/>
                <w:szCs w:val="18"/>
                <w:lang w:val="en-US"/>
              </w:rPr>
            </w:pPr>
            <w:r w:rsidRPr="002460E2">
              <w:rPr>
                <w:sz w:val="18"/>
                <w:szCs w:val="18"/>
                <w:lang w:val="en-US"/>
              </w:rPr>
              <w:lastRenderedPageBreak/>
              <w:t>(2) Monedele pentru care o instituție aplică factorii de risc de rată a dobânzii delta în conformitate cu alineatul (1) sunt euro, coroana suedeză, dolarul australian, dolarul canadian, lira sterlină britanică, yenul japonez și dolarul american, moneda de raportare a instituției și moneda unui stat membru care participă la MCS II.</w:t>
            </w:r>
          </w:p>
        </w:tc>
        <w:tc>
          <w:tcPr>
            <w:tcW w:w="3685" w:type="dxa"/>
            <w:shd w:val="clear" w:color="auto" w:fill="auto"/>
          </w:tcPr>
          <w:p w14:paraId="3AC76C7E" w14:textId="77777777" w:rsidR="00C8547D" w:rsidRPr="00C8547D" w:rsidRDefault="00C8547D" w:rsidP="00C8547D">
            <w:pPr>
              <w:pStyle w:val="ListParagraph"/>
              <w:tabs>
                <w:tab w:val="left" w:pos="31"/>
              </w:tabs>
              <w:ind w:left="0"/>
              <w:rPr>
                <w:sz w:val="18"/>
                <w:szCs w:val="18"/>
                <w:lang w:val="ro-MD"/>
              </w:rPr>
            </w:pPr>
            <w:r w:rsidRPr="00C8547D">
              <w:rPr>
                <w:sz w:val="18"/>
                <w:szCs w:val="18"/>
                <w:lang w:val="ro-MD"/>
              </w:rPr>
              <w:t>44. Monedele pentru care banca aplică factorii de risc de rată a dobânzii delta în conformitate cu punctele 41 - 43 sunt euro, coroana suedeză, dolarul australian, dolarul canadian, lira sterlină britanică, yenul japonez și dolarul american, moneda de raportare a băncii și moneda unui stat membru care participă la Mecanismul de schimb valutar II (MCS II).</w:t>
            </w:r>
          </w:p>
          <w:p w14:paraId="6B7ABC3B" w14:textId="1BBBD247" w:rsidR="008D7F28" w:rsidRPr="002460E2" w:rsidRDefault="008D7F28" w:rsidP="000A5A50">
            <w:pPr>
              <w:pStyle w:val="ListParagraph"/>
              <w:tabs>
                <w:tab w:val="left" w:pos="31"/>
              </w:tabs>
              <w:ind w:left="0"/>
              <w:jc w:val="both"/>
              <w:rPr>
                <w:rFonts w:eastAsiaTheme="minorHAnsi"/>
                <w:i/>
                <w:iCs/>
                <w:color w:val="000000"/>
                <w:sz w:val="18"/>
                <w:szCs w:val="18"/>
                <w:lang w:val="ro-MD" w:eastAsia="en-US"/>
                <w14:ligatures w14:val="standardContextual"/>
              </w:rPr>
            </w:pPr>
          </w:p>
        </w:tc>
        <w:tc>
          <w:tcPr>
            <w:tcW w:w="1229" w:type="dxa"/>
          </w:tcPr>
          <w:p w14:paraId="5E942309" w14:textId="6D43B2EA"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49E06F99" w14:textId="2BF71500" w:rsidR="008D7F28" w:rsidRPr="002460E2" w:rsidRDefault="008D7F28" w:rsidP="008D7F28">
            <w:pPr>
              <w:rPr>
                <w:sz w:val="18"/>
                <w:szCs w:val="18"/>
                <w:lang w:val="ro-MD"/>
              </w:rPr>
            </w:pPr>
          </w:p>
        </w:tc>
      </w:tr>
      <w:tr w:rsidR="008D7F28" w:rsidRPr="002460E2" w14:paraId="5F0EB5A2" w14:textId="77777777" w:rsidTr="003F5B3C">
        <w:trPr>
          <w:trHeight w:val="918"/>
        </w:trPr>
        <w:tc>
          <w:tcPr>
            <w:tcW w:w="4253" w:type="dxa"/>
          </w:tcPr>
          <w:p w14:paraId="7559648E" w14:textId="26A4D5D9" w:rsidR="008D7F28" w:rsidRPr="002460E2" w:rsidRDefault="008D7F28" w:rsidP="008D7F28">
            <w:pPr>
              <w:rPr>
                <w:sz w:val="18"/>
                <w:szCs w:val="18"/>
                <w:lang w:val="en-US"/>
              </w:rPr>
            </w:pPr>
            <w:r w:rsidRPr="002460E2">
              <w:rPr>
                <w:sz w:val="18"/>
                <w:szCs w:val="18"/>
                <w:lang w:val="en-US"/>
              </w:rPr>
              <w:t>(3) Pentru monedele care nu sunt menționate la alineatul (2), factorii de risc de rată a dobânzii delta constau în variația absolută a ratei inflației și decalajul paralel al întregii curbe fără risc pentru o anumită monedă.</w:t>
            </w:r>
          </w:p>
          <w:p w14:paraId="7FDC0C74" w14:textId="77777777" w:rsidR="008D7F28" w:rsidRPr="002460E2" w:rsidRDefault="008D7F28" w:rsidP="008D7F28">
            <w:pPr>
              <w:rPr>
                <w:i/>
                <w:iCs/>
                <w:color w:val="000000"/>
                <w:sz w:val="18"/>
                <w:szCs w:val="18"/>
                <w:lang w:val="en-US"/>
              </w:rPr>
            </w:pPr>
          </w:p>
        </w:tc>
        <w:tc>
          <w:tcPr>
            <w:tcW w:w="3685" w:type="dxa"/>
            <w:shd w:val="clear" w:color="auto" w:fill="auto"/>
          </w:tcPr>
          <w:p w14:paraId="37D6B4E7" w14:textId="4521CE94" w:rsidR="008D7F28" w:rsidRPr="002460E2" w:rsidRDefault="00C8547D" w:rsidP="00C8547D">
            <w:pPr>
              <w:pStyle w:val="ListParagraph"/>
              <w:tabs>
                <w:tab w:val="left" w:pos="31"/>
              </w:tabs>
              <w:ind w:left="0"/>
              <w:rPr>
                <w:sz w:val="18"/>
                <w:szCs w:val="18"/>
                <w:lang w:val="ro-MD"/>
              </w:rPr>
            </w:pPr>
            <w:r w:rsidRPr="00C8547D">
              <w:rPr>
                <w:sz w:val="18"/>
                <w:szCs w:val="18"/>
                <w:lang w:val="ro-MD"/>
              </w:rPr>
              <w:t>45. Pentru monedele care nu sunt menționate la punctul 44, factorii de risc de rată a dobânzii delta constau în variația absolută a ratei inflației și decalajul paralel al întregii curbe fără risc pentru o anumită monedă.</w:t>
            </w:r>
          </w:p>
        </w:tc>
        <w:tc>
          <w:tcPr>
            <w:tcW w:w="1229" w:type="dxa"/>
          </w:tcPr>
          <w:p w14:paraId="42E6D803" w14:textId="2ED30D43"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0352A3AA" w14:textId="77777777" w:rsidR="008D7F28" w:rsidRPr="002460E2" w:rsidRDefault="008D7F28" w:rsidP="008D7F28">
            <w:pPr>
              <w:jc w:val="both"/>
              <w:rPr>
                <w:sz w:val="18"/>
                <w:szCs w:val="18"/>
                <w:lang w:val="ro-MD"/>
              </w:rPr>
            </w:pPr>
          </w:p>
        </w:tc>
      </w:tr>
      <w:tr w:rsidR="008D7F28" w:rsidRPr="002460E2" w14:paraId="0E6AF579" w14:textId="77777777" w:rsidTr="003F5B3C">
        <w:trPr>
          <w:trHeight w:val="918"/>
        </w:trPr>
        <w:tc>
          <w:tcPr>
            <w:tcW w:w="4253" w:type="dxa"/>
          </w:tcPr>
          <w:p w14:paraId="36391441" w14:textId="39C64666" w:rsidR="008D7F28" w:rsidRPr="002460E2" w:rsidRDefault="008D7F28" w:rsidP="008D7F28">
            <w:pPr>
              <w:rPr>
                <w:sz w:val="18"/>
                <w:szCs w:val="18"/>
                <w:lang w:val="en-US"/>
              </w:rPr>
            </w:pPr>
            <w:r w:rsidRPr="002460E2">
              <w:rPr>
                <w:sz w:val="18"/>
                <w:szCs w:val="18"/>
                <w:lang w:val="en-US"/>
              </w:rPr>
              <w:t>(4) Instituțiile obțin ratele fără risc pentru fiecare monedă pe baza instrumentelor pieței monetare deținute în portofoliul lor de tranzacționare care au cel mai redus risc de credit, inclusiv swapurile pe rata dobânzii </w:t>
            </w:r>
            <w:r w:rsidRPr="002460E2">
              <w:rPr>
                <w:i/>
                <w:iCs/>
                <w:sz w:val="18"/>
                <w:szCs w:val="18"/>
                <w:lang w:val="en-US"/>
              </w:rPr>
              <w:t>overnight</w:t>
            </w:r>
            <w:r w:rsidRPr="002460E2">
              <w:rPr>
                <w:sz w:val="18"/>
                <w:szCs w:val="18"/>
                <w:lang w:val="en-US"/>
              </w:rPr>
              <w:t>.</w:t>
            </w:r>
          </w:p>
        </w:tc>
        <w:tc>
          <w:tcPr>
            <w:tcW w:w="3685" w:type="dxa"/>
            <w:shd w:val="clear" w:color="auto" w:fill="auto"/>
          </w:tcPr>
          <w:p w14:paraId="0FE9C8CD" w14:textId="385979B7" w:rsidR="000A5A50" w:rsidRPr="002460E2" w:rsidRDefault="000A5A50" w:rsidP="000A5A50">
            <w:pPr>
              <w:pStyle w:val="ListParagraph"/>
              <w:tabs>
                <w:tab w:val="left" w:pos="31"/>
              </w:tabs>
              <w:ind w:left="0"/>
              <w:jc w:val="both"/>
              <w:rPr>
                <w:sz w:val="18"/>
                <w:szCs w:val="18"/>
                <w:lang w:val="ro-MD"/>
              </w:rPr>
            </w:pPr>
            <w:r w:rsidRPr="002460E2">
              <w:rPr>
                <w:sz w:val="18"/>
                <w:szCs w:val="18"/>
                <w:lang w:val="ro-MD"/>
              </w:rPr>
              <w:t>4</w:t>
            </w:r>
            <w:r w:rsidR="00C8547D" w:rsidRPr="002460E2">
              <w:rPr>
                <w:sz w:val="18"/>
                <w:szCs w:val="18"/>
                <w:lang w:val="ro-MD"/>
              </w:rPr>
              <w:t>6</w:t>
            </w:r>
            <w:r w:rsidRPr="002460E2">
              <w:rPr>
                <w:sz w:val="18"/>
                <w:szCs w:val="18"/>
                <w:lang w:val="ro-MD"/>
              </w:rPr>
              <w:t>.</w:t>
            </w:r>
            <w:r w:rsidRPr="002460E2">
              <w:rPr>
                <w:b/>
                <w:bCs/>
                <w:sz w:val="18"/>
                <w:szCs w:val="18"/>
                <w:lang w:val="ro-MD"/>
              </w:rPr>
              <w:t xml:space="preserve"> </w:t>
            </w:r>
            <w:r w:rsidRPr="002460E2">
              <w:rPr>
                <w:sz w:val="18"/>
                <w:szCs w:val="18"/>
                <w:lang w:val="ro-MD"/>
              </w:rPr>
              <w:t>Băncile obțin ratele fără risc pentru fiecare monedă pe baza instrumentelor pieței monetare deținute în portofoliul lor de tranzacționare care au cel mai redus risc de credit, inclusiv swapurile pe rata dobânzii </w:t>
            </w:r>
            <w:r w:rsidRPr="002460E2">
              <w:rPr>
                <w:i/>
                <w:iCs/>
                <w:sz w:val="18"/>
                <w:szCs w:val="18"/>
                <w:lang w:val="ro-MD"/>
              </w:rPr>
              <w:t>overnight</w:t>
            </w:r>
            <w:r w:rsidRPr="002460E2">
              <w:rPr>
                <w:sz w:val="18"/>
                <w:szCs w:val="18"/>
                <w:lang w:val="ro-MD"/>
              </w:rPr>
              <w:t>.</w:t>
            </w:r>
          </w:p>
          <w:p w14:paraId="46CAD42F"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6E3AEF5B" w14:textId="1D8276CB"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4447C133" w14:textId="77777777" w:rsidR="008D7F28" w:rsidRPr="002460E2" w:rsidRDefault="008D7F28" w:rsidP="008D7F28">
            <w:pPr>
              <w:jc w:val="both"/>
              <w:rPr>
                <w:sz w:val="18"/>
                <w:szCs w:val="18"/>
                <w:lang w:val="ro-MD"/>
              </w:rPr>
            </w:pPr>
          </w:p>
        </w:tc>
      </w:tr>
      <w:tr w:rsidR="008D7F28" w:rsidRPr="002460E2" w14:paraId="67E03D84" w14:textId="77777777" w:rsidTr="003F5B3C">
        <w:trPr>
          <w:trHeight w:val="918"/>
        </w:trPr>
        <w:tc>
          <w:tcPr>
            <w:tcW w:w="4253" w:type="dxa"/>
          </w:tcPr>
          <w:p w14:paraId="1C7DB8C1" w14:textId="77777777" w:rsidR="008D7F28" w:rsidRPr="002460E2" w:rsidRDefault="008D7F28" w:rsidP="008D7F28">
            <w:pPr>
              <w:pStyle w:val="CM4"/>
              <w:spacing w:before="60" w:after="60"/>
              <w:rPr>
                <w:rFonts w:ascii="Times New Roman" w:hAnsi="Times New Roman"/>
                <w:color w:val="000000"/>
                <w:sz w:val="18"/>
                <w:szCs w:val="18"/>
              </w:rPr>
            </w:pPr>
            <w:r w:rsidRPr="002460E2">
              <w:rPr>
                <w:rFonts w:ascii="Times New Roman" w:hAnsi="Times New Roman"/>
                <w:color w:val="000000"/>
                <w:sz w:val="18"/>
                <w:szCs w:val="18"/>
              </w:rPr>
              <w:t>(5) În cazul în care instituțiile nu pot aplica abordarea menționată la alineatul (4), ratele fără risc se bazează pe una sau mai multe curbe swap implicite de piață utilizate de instituții pentru a marca pozițiile la piață, precum curbele swap pe rata dobânzii interbancare oferită.</w:t>
            </w:r>
          </w:p>
          <w:p w14:paraId="5DCF4FA3" w14:textId="1E2593FD" w:rsidR="008D7F28" w:rsidRPr="002460E2" w:rsidRDefault="008D7F28" w:rsidP="008D7F28">
            <w:pPr>
              <w:pStyle w:val="CM4"/>
              <w:spacing w:before="60" w:after="60"/>
              <w:rPr>
                <w:rFonts w:ascii="Times New Roman" w:hAnsi="Times New Roman"/>
                <w:i/>
                <w:iCs/>
                <w:color w:val="000000"/>
                <w:sz w:val="18"/>
                <w:szCs w:val="18"/>
              </w:rPr>
            </w:pPr>
            <w:r w:rsidRPr="002460E2">
              <w:rPr>
                <w:rFonts w:ascii="Times New Roman" w:hAnsi="Times New Roman"/>
                <w:color w:val="000000"/>
                <w:sz w:val="18"/>
                <w:szCs w:val="18"/>
              </w:rPr>
              <w:t>În cazul în care datele privind curbele swap implicite de piață descrise la primul paragraf sunt insuficiente, ratele fără risc pot fi determinate pornind de la cea mai adecvată curbă a obligațiunilor suverane pentru o anumită monedă.</w:t>
            </w:r>
          </w:p>
        </w:tc>
        <w:tc>
          <w:tcPr>
            <w:tcW w:w="3685" w:type="dxa"/>
            <w:shd w:val="clear" w:color="auto" w:fill="auto"/>
          </w:tcPr>
          <w:p w14:paraId="071E0EA2" w14:textId="77777777" w:rsidR="00C8547D" w:rsidRPr="00C8547D" w:rsidRDefault="00C8547D" w:rsidP="00C8547D">
            <w:pPr>
              <w:tabs>
                <w:tab w:val="left" w:pos="993"/>
              </w:tabs>
              <w:contextualSpacing/>
              <w:jc w:val="both"/>
              <w:rPr>
                <w:sz w:val="18"/>
                <w:szCs w:val="18"/>
                <w:lang w:val="ro-MD" w:eastAsia="en-US"/>
              </w:rPr>
            </w:pPr>
            <w:r w:rsidRPr="00C8547D">
              <w:rPr>
                <w:sz w:val="18"/>
                <w:szCs w:val="18"/>
                <w:lang w:val="ro-MD" w:eastAsia="en-US"/>
              </w:rPr>
              <w:t>47. În cazul în care băncile nu pot aplica abordarea menționată la punctul 46, ratele fără risc se bazează pe una sau mai multe curbe swap implicite de piață utilizate de bănci pentru a marca pozițiile la piață, precum curbele swap pe rata dobânzii interbancare oferită.</w:t>
            </w:r>
          </w:p>
          <w:p w14:paraId="752EFCF9" w14:textId="1E70860F" w:rsidR="008D7F28" w:rsidRPr="002460E2" w:rsidRDefault="00C8547D" w:rsidP="00C8547D">
            <w:pPr>
              <w:tabs>
                <w:tab w:val="left" w:pos="993"/>
              </w:tabs>
              <w:contextualSpacing/>
              <w:jc w:val="both"/>
              <w:rPr>
                <w:sz w:val="18"/>
                <w:szCs w:val="18"/>
                <w:lang w:val="ro-MD" w:eastAsia="en-US"/>
              </w:rPr>
            </w:pPr>
            <w:r w:rsidRPr="00C8547D">
              <w:rPr>
                <w:sz w:val="18"/>
                <w:szCs w:val="18"/>
                <w:lang w:val="ro-MD" w:eastAsia="en-US"/>
              </w:rPr>
              <w:t>48. În cazul în care datele privind curbele swap implicite de piață descrise la punctul 41 sunt insuficiente, ratele fără risc pot fi determinate pornind de la cea mai adecvată curbă a obligațiunilor suverane pentru o anumită monedă.</w:t>
            </w:r>
          </w:p>
        </w:tc>
        <w:tc>
          <w:tcPr>
            <w:tcW w:w="1229" w:type="dxa"/>
          </w:tcPr>
          <w:p w14:paraId="26ABD7B7" w14:textId="696468AB"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5A025A8" w14:textId="77777777" w:rsidR="008D7F28" w:rsidRPr="002460E2" w:rsidRDefault="008D7F28" w:rsidP="008D7F28">
            <w:pPr>
              <w:jc w:val="both"/>
              <w:rPr>
                <w:sz w:val="18"/>
                <w:szCs w:val="18"/>
                <w:lang w:val="ro-MD"/>
              </w:rPr>
            </w:pPr>
          </w:p>
        </w:tc>
      </w:tr>
      <w:tr w:rsidR="008D7F28" w:rsidRPr="002460E2" w14:paraId="585769BF" w14:textId="77777777" w:rsidTr="003F5B3C">
        <w:trPr>
          <w:trHeight w:val="583"/>
        </w:trPr>
        <w:tc>
          <w:tcPr>
            <w:tcW w:w="4253" w:type="dxa"/>
          </w:tcPr>
          <w:p w14:paraId="76CF2D57" w14:textId="5CE07FE8" w:rsidR="008D7F28" w:rsidRPr="002460E2" w:rsidRDefault="008D7F28" w:rsidP="008D7F28">
            <w:pPr>
              <w:rPr>
                <w:sz w:val="18"/>
                <w:szCs w:val="18"/>
                <w:lang w:val="en-US"/>
              </w:rPr>
            </w:pPr>
            <w:r w:rsidRPr="002460E2">
              <w:rPr>
                <w:sz w:val="18"/>
                <w:szCs w:val="18"/>
                <w:lang w:val="en-US"/>
              </w:rPr>
              <w:t xml:space="preserve">(6) Factorii de risc de rată a dobânzii vega aplicabili instrumentelor din portofoliul CVA care sunt sensibile la volatilitatea ratei dobânzii sunt toate volatilitățile ratei dobânzii aferente tuturor momentelor specifice </w:t>
            </w:r>
            <w:r w:rsidRPr="002460E2">
              <w:rPr>
                <w:sz w:val="18"/>
                <w:szCs w:val="18"/>
                <w:lang w:val="en-US"/>
              </w:rPr>
              <w:lastRenderedPageBreak/>
              <w:t>pentru o anumită monedă. Factorii de risc de rată a inflației vega aplicabili instrumentelor din portofoliul CVA care sunt sensibile la volatilitatea ratei inflației sunt toate volatilitățile ratei inflației aferente tuturor momentelor specifice pentru o anumită monedă. Există o singură sensibilitate netă la rata dobânzii și o singură sensibilitate netă la rata inflației calculate pentru fiecare monedă.</w:t>
            </w:r>
          </w:p>
        </w:tc>
        <w:tc>
          <w:tcPr>
            <w:tcW w:w="3685" w:type="dxa"/>
            <w:shd w:val="clear" w:color="auto" w:fill="auto"/>
          </w:tcPr>
          <w:p w14:paraId="050B6CED" w14:textId="1B447099" w:rsidR="008D7F28" w:rsidRPr="002460E2" w:rsidRDefault="00D047A3" w:rsidP="00D047A3">
            <w:pPr>
              <w:tabs>
                <w:tab w:val="left" w:pos="993"/>
              </w:tabs>
              <w:contextualSpacing/>
              <w:jc w:val="both"/>
              <w:rPr>
                <w:sz w:val="18"/>
                <w:szCs w:val="18"/>
                <w:lang w:val="ro-MD" w:eastAsia="en-US"/>
              </w:rPr>
            </w:pPr>
            <w:r w:rsidRPr="002460E2">
              <w:rPr>
                <w:sz w:val="18"/>
                <w:szCs w:val="18"/>
                <w:lang w:val="ro-MD" w:eastAsia="en-US"/>
              </w:rPr>
              <w:lastRenderedPageBreak/>
              <w:t>4</w:t>
            </w:r>
            <w:r w:rsidR="00C8547D" w:rsidRPr="002460E2">
              <w:rPr>
                <w:sz w:val="18"/>
                <w:szCs w:val="18"/>
                <w:lang w:val="ro-MD" w:eastAsia="en-US"/>
              </w:rPr>
              <w:t>9</w:t>
            </w:r>
            <w:r w:rsidRPr="002460E2">
              <w:rPr>
                <w:sz w:val="18"/>
                <w:szCs w:val="18"/>
                <w:lang w:val="ro-MD" w:eastAsia="en-US"/>
              </w:rPr>
              <w:t xml:space="preserve">. Factorii de risc de rată a dobânzii vega aplicabili instrumentelor din portofoliul CVA care sunt sensibile la volatilitatea ratei dobânzii sunt toate volatilitățile ratei dobânzii aferente </w:t>
            </w:r>
            <w:r w:rsidRPr="002460E2">
              <w:rPr>
                <w:sz w:val="18"/>
                <w:szCs w:val="18"/>
                <w:lang w:val="ro-MD" w:eastAsia="en-US"/>
              </w:rPr>
              <w:lastRenderedPageBreak/>
              <w:t>tuturor momentelor specifice pentru o anumită monedă. Factorii de risc de rată a inflației vega aplicabili instrumentelor din portofoliul CVA care sunt sensibile la volatilitatea ratei inflației sunt toate volatilitățile ratei inflației aferente tuturor momentelor specifice pentru o anumită monedă. Există o singură sensibilitate netă la rata dobânzii și o singură sensibilitate netă la rata inflației calculate pentru fiecare monedă.</w:t>
            </w:r>
          </w:p>
        </w:tc>
        <w:tc>
          <w:tcPr>
            <w:tcW w:w="1229" w:type="dxa"/>
          </w:tcPr>
          <w:p w14:paraId="225E7F90" w14:textId="278E42BB"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130000CD" w14:textId="77777777" w:rsidR="008D7F28" w:rsidRPr="002460E2" w:rsidRDefault="008D7F28" w:rsidP="008D7F28">
            <w:pPr>
              <w:jc w:val="both"/>
              <w:rPr>
                <w:sz w:val="18"/>
                <w:szCs w:val="18"/>
                <w:lang w:val="ro-MD"/>
              </w:rPr>
            </w:pPr>
          </w:p>
        </w:tc>
      </w:tr>
      <w:tr w:rsidR="008D7F28" w:rsidRPr="002460E2" w14:paraId="5946408C" w14:textId="77777777" w:rsidTr="003F5B3C">
        <w:trPr>
          <w:trHeight w:val="918"/>
        </w:trPr>
        <w:tc>
          <w:tcPr>
            <w:tcW w:w="4253" w:type="dxa"/>
          </w:tcPr>
          <w:p w14:paraId="25B7A159" w14:textId="77777777" w:rsidR="008D7F28" w:rsidRPr="002460E2" w:rsidRDefault="008D7F28" w:rsidP="008D7F28">
            <w:pPr>
              <w:rPr>
                <w:i/>
                <w:iCs/>
                <w:sz w:val="18"/>
                <w:szCs w:val="18"/>
                <w:lang w:val="en-US"/>
              </w:rPr>
            </w:pPr>
            <w:r w:rsidRPr="002460E2">
              <w:rPr>
                <w:i/>
                <w:iCs/>
                <w:sz w:val="18"/>
                <w:szCs w:val="18"/>
                <w:lang w:val="en-US"/>
              </w:rPr>
              <w:t>Articolul 383d</w:t>
            </w:r>
          </w:p>
          <w:p w14:paraId="10B59FB0" w14:textId="77777777" w:rsidR="008D7F28" w:rsidRPr="002460E2" w:rsidRDefault="008D7F28" w:rsidP="008D7F28">
            <w:pPr>
              <w:rPr>
                <w:b/>
                <w:bCs/>
                <w:sz w:val="18"/>
                <w:szCs w:val="18"/>
                <w:lang w:val="en-US"/>
              </w:rPr>
            </w:pPr>
            <w:r w:rsidRPr="002460E2">
              <w:rPr>
                <w:b/>
                <w:bCs/>
                <w:sz w:val="18"/>
                <w:szCs w:val="18"/>
                <w:lang w:val="en-US"/>
              </w:rPr>
              <w:t>Factorii de risc valutar</w:t>
            </w:r>
          </w:p>
          <w:p w14:paraId="1BA48C1B" w14:textId="25EE9463" w:rsidR="008D7F28" w:rsidRPr="002460E2" w:rsidRDefault="008D7F28" w:rsidP="008D7F28">
            <w:pPr>
              <w:rPr>
                <w:sz w:val="18"/>
                <w:szCs w:val="18"/>
                <w:lang w:val="en-US"/>
              </w:rPr>
            </w:pPr>
            <w:r w:rsidRPr="002460E2">
              <w:rPr>
                <w:sz w:val="18"/>
                <w:szCs w:val="18"/>
                <w:lang w:val="en-US"/>
              </w:rPr>
              <w:t>(1) Factorii de risc valutar delta pe care instituțiile trebuie să îi aplice instrumentelor din portofoliul CVA sensibile la cursurile de schimb valutar la vedere sunt toate cursurile de schimb valutar la vedere dintre moneda în care este denominat un instrument și moneda de raportare a instituției sau moneda de bază a instituției, în cazul în care instituția utilizează o monedă de bază în conformitate cu articolul 325q alineatul (7). Pentru fiecare pereche de monede există o singură bandă, care cuprinde un singur factor de risc și o singură sensibilitate netă.</w:t>
            </w:r>
          </w:p>
          <w:p w14:paraId="001833CF" w14:textId="77777777" w:rsidR="008D7F28" w:rsidRPr="002460E2" w:rsidRDefault="008D7F28" w:rsidP="008D7F28">
            <w:pPr>
              <w:rPr>
                <w:i/>
                <w:iCs/>
                <w:color w:val="000000"/>
                <w:sz w:val="18"/>
                <w:szCs w:val="18"/>
                <w:lang w:val="en-US"/>
              </w:rPr>
            </w:pPr>
          </w:p>
        </w:tc>
        <w:tc>
          <w:tcPr>
            <w:tcW w:w="3685" w:type="dxa"/>
            <w:shd w:val="clear" w:color="auto" w:fill="auto"/>
          </w:tcPr>
          <w:p w14:paraId="1CACD072" w14:textId="77777777" w:rsidR="00BA2C2E" w:rsidRPr="002460E2" w:rsidRDefault="00BA2C2E" w:rsidP="00BA2C2E">
            <w:pPr>
              <w:pStyle w:val="ListParagraph"/>
              <w:ind w:left="786"/>
              <w:jc w:val="center"/>
              <w:rPr>
                <w:i/>
                <w:iCs/>
                <w:sz w:val="18"/>
                <w:szCs w:val="18"/>
                <w:lang w:val="ro-MD"/>
              </w:rPr>
            </w:pPr>
            <w:r w:rsidRPr="002460E2">
              <w:rPr>
                <w:i/>
                <w:iCs/>
                <w:sz w:val="18"/>
                <w:szCs w:val="18"/>
                <w:lang w:val="ro-MD"/>
              </w:rPr>
              <w:t>Secțiunea a 5-a</w:t>
            </w:r>
          </w:p>
          <w:p w14:paraId="2CC56EC5" w14:textId="77777777" w:rsidR="00BA2C2E" w:rsidRPr="002460E2" w:rsidRDefault="00BA2C2E" w:rsidP="00BA2C2E">
            <w:pPr>
              <w:pStyle w:val="ListParagraph"/>
              <w:tabs>
                <w:tab w:val="left" w:pos="426"/>
                <w:tab w:val="left" w:pos="993"/>
              </w:tabs>
              <w:ind w:left="426"/>
              <w:jc w:val="center"/>
              <w:rPr>
                <w:b/>
                <w:bCs/>
                <w:sz w:val="18"/>
                <w:szCs w:val="18"/>
                <w:lang w:val="ro-MD"/>
              </w:rPr>
            </w:pPr>
            <w:r w:rsidRPr="002460E2">
              <w:rPr>
                <w:b/>
                <w:bCs/>
                <w:sz w:val="18"/>
                <w:szCs w:val="18"/>
                <w:lang w:val="ro-MD"/>
              </w:rPr>
              <w:t>Factorii de risc valutar</w:t>
            </w:r>
          </w:p>
          <w:p w14:paraId="2D374EBD" w14:textId="0C47340F" w:rsidR="00BA2C2E" w:rsidRPr="002460E2" w:rsidRDefault="00C8547D" w:rsidP="00BA2C2E">
            <w:pPr>
              <w:pStyle w:val="ListParagraph"/>
              <w:tabs>
                <w:tab w:val="left" w:pos="851"/>
                <w:tab w:val="left" w:pos="993"/>
              </w:tabs>
              <w:ind w:left="0"/>
              <w:jc w:val="both"/>
              <w:rPr>
                <w:sz w:val="18"/>
                <w:szCs w:val="18"/>
                <w:lang w:val="ro-MD"/>
              </w:rPr>
            </w:pPr>
            <w:r w:rsidRPr="002460E2">
              <w:rPr>
                <w:sz w:val="18"/>
                <w:szCs w:val="18"/>
                <w:lang w:val="ro-MD"/>
              </w:rPr>
              <w:t>50</w:t>
            </w:r>
            <w:r w:rsidR="00BA2C2E" w:rsidRPr="002460E2">
              <w:rPr>
                <w:sz w:val="18"/>
                <w:szCs w:val="18"/>
                <w:lang w:val="ro-MD"/>
              </w:rPr>
              <w:t xml:space="preserve">. Factorii de risc valutar delta pe care băncile trebuie să îi aplice instrumentelor din portofoliul CVA sensibile la cursurile de schimb valutar la vedere sunt toate cursurile de schimb valutar la vedere dintre moneda în care este denominat un instrument și moneda de raportare a băncii sau moneda de bază a băncii, în cazul în care banca utilizează o monedă de bază în conformitate cu </w:t>
            </w:r>
            <w:bookmarkStart w:id="6" w:name="_Hlk199144741"/>
            <w:r w:rsidR="001B131C" w:rsidRPr="001B131C">
              <w:rPr>
                <w:sz w:val="18"/>
                <w:szCs w:val="18"/>
                <w:lang w:val="ro-MD"/>
              </w:rPr>
              <w:t>prevederile reglementărilor aferente tratamentului riscului de piaţă potrivit abordării standardizate.</w:t>
            </w:r>
            <w:r w:rsidR="00BA2C2E" w:rsidRPr="002460E2">
              <w:rPr>
                <w:sz w:val="18"/>
                <w:szCs w:val="18"/>
                <w:lang w:val="ro-MD"/>
              </w:rPr>
              <w:t>.</w:t>
            </w:r>
            <w:bookmarkEnd w:id="6"/>
            <w:r w:rsidR="00BA2C2E" w:rsidRPr="002460E2">
              <w:rPr>
                <w:sz w:val="18"/>
                <w:szCs w:val="18"/>
                <w:lang w:val="ro-MD"/>
              </w:rPr>
              <w:t xml:space="preserve"> Pentru fiecare pereche de monede există o singură bandă, care cuprinde un singur factor de risc și o singură sensibilitate netă.</w:t>
            </w:r>
          </w:p>
          <w:p w14:paraId="3B883197" w14:textId="77777777" w:rsidR="008D7F28" w:rsidRPr="002460E2" w:rsidRDefault="008D7F28" w:rsidP="00BA2C2E">
            <w:pPr>
              <w:pStyle w:val="ListParagraph"/>
              <w:tabs>
                <w:tab w:val="left" w:pos="851"/>
                <w:tab w:val="left" w:pos="993"/>
              </w:tabs>
              <w:ind w:left="0" w:firstLine="426"/>
              <w:jc w:val="both"/>
              <w:rPr>
                <w:rFonts w:eastAsiaTheme="minorHAnsi"/>
                <w:i/>
                <w:iCs/>
                <w:color w:val="000000"/>
                <w:sz w:val="18"/>
                <w:szCs w:val="18"/>
                <w:lang w:val="ro-MD" w:eastAsia="en-US"/>
                <w14:ligatures w14:val="standardContextual"/>
              </w:rPr>
            </w:pPr>
          </w:p>
        </w:tc>
        <w:tc>
          <w:tcPr>
            <w:tcW w:w="1229" w:type="dxa"/>
          </w:tcPr>
          <w:p w14:paraId="72E339D5" w14:textId="593F4401"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F2CE466" w14:textId="77777777" w:rsidR="008D7F28" w:rsidRPr="002460E2" w:rsidRDefault="008D7F28" w:rsidP="008D7F28">
            <w:pPr>
              <w:jc w:val="both"/>
              <w:rPr>
                <w:sz w:val="18"/>
                <w:szCs w:val="18"/>
                <w:lang w:val="ro-MD"/>
              </w:rPr>
            </w:pPr>
          </w:p>
        </w:tc>
      </w:tr>
      <w:tr w:rsidR="008D7F28" w:rsidRPr="002460E2" w14:paraId="3DA8C6BF" w14:textId="77777777" w:rsidTr="003F5B3C">
        <w:trPr>
          <w:trHeight w:val="918"/>
        </w:trPr>
        <w:tc>
          <w:tcPr>
            <w:tcW w:w="4253" w:type="dxa"/>
          </w:tcPr>
          <w:p w14:paraId="14A71A33" w14:textId="71ADFDBD" w:rsidR="008D7F28" w:rsidRPr="002460E2" w:rsidRDefault="008D7F28" w:rsidP="008D7F28">
            <w:pPr>
              <w:rPr>
                <w:sz w:val="18"/>
                <w:szCs w:val="18"/>
                <w:lang w:val="en-US"/>
              </w:rPr>
            </w:pPr>
            <w:r w:rsidRPr="002460E2">
              <w:rPr>
                <w:sz w:val="18"/>
                <w:szCs w:val="18"/>
                <w:lang w:val="en-US"/>
              </w:rPr>
              <w:t>(2) Factorii de risc valutar vega pe care instituțiile trebuie să îi aplice instrumentelor din portofoliul CVA care sunt sensibile la volatilitatea cursului de schimb valutar sunt volatilitățile implicite ale cursurilor de schimb valutar dintre perechile de monede menționate la alineatul (1). Există o singură bandă pentru toate monedele și scadențele, care cuprinde toți factorii de risc valutar vega și o singură sensibilitate netă.</w:t>
            </w:r>
          </w:p>
        </w:tc>
        <w:tc>
          <w:tcPr>
            <w:tcW w:w="3685" w:type="dxa"/>
            <w:shd w:val="clear" w:color="auto" w:fill="auto"/>
          </w:tcPr>
          <w:p w14:paraId="431AC5E9" w14:textId="4D1DAC20" w:rsidR="00BA2C2E" w:rsidRPr="002460E2" w:rsidRDefault="00C8547D" w:rsidP="00BA2C2E">
            <w:pPr>
              <w:pStyle w:val="ListParagraph"/>
              <w:tabs>
                <w:tab w:val="left" w:pos="851"/>
                <w:tab w:val="left" w:pos="993"/>
              </w:tabs>
              <w:ind w:left="0"/>
              <w:jc w:val="both"/>
              <w:rPr>
                <w:sz w:val="18"/>
                <w:szCs w:val="18"/>
                <w:lang w:val="ro-MD"/>
              </w:rPr>
            </w:pPr>
            <w:r w:rsidRPr="002460E2">
              <w:rPr>
                <w:sz w:val="18"/>
                <w:szCs w:val="18"/>
                <w:lang w:val="ro-MD"/>
              </w:rPr>
              <w:t>51</w:t>
            </w:r>
            <w:r w:rsidR="00BA2C2E" w:rsidRPr="002460E2">
              <w:rPr>
                <w:sz w:val="18"/>
                <w:szCs w:val="18"/>
                <w:lang w:val="ro-MD"/>
              </w:rPr>
              <w:t xml:space="preserve">. Factorii de risc valutar vega pe care băncile trebuie să îi aplice instrumentelor din portofoliul CVA care sunt sensibile la volatilitatea cursului de schimb valutar sunt volatilitățile implicite ale cursurilor de schimb valutar dintre perechile de monede menționate la punctul </w:t>
            </w:r>
            <w:r w:rsidRPr="002460E2">
              <w:rPr>
                <w:sz w:val="18"/>
                <w:szCs w:val="18"/>
                <w:lang w:val="ro-MD"/>
              </w:rPr>
              <w:t>50</w:t>
            </w:r>
            <w:r w:rsidR="00BA2C2E" w:rsidRPr="002460E2">
              <w:rPr>
                <w:sz w:val="18"/>
                <w:szCs w:val="18"/>
                <w:lang w:val="ro-MD"/>
              </w:rPr>
              <w:t>. Există o singură bandă pentru toate monedele și scadențele, care cuprinde toți factorii de risc valutar vega și o singură sensibilitate netă.</w:t>
            </w:r>
          </w:p>
          <w:p w14:paraId="69A4C475"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7111A39A" w14:textId="190EE2CB"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3AF9C6B1" w14:textId="77777777" w:rsidR="008D7F28" w:rsidRPr="002460E2" w:rsidRDefault="008D7F28" w:rsidP="008D7F28">
            <w:pPr>
              <w:jc w:val="both"/>
              <w:rPr>
                <w:sz w:val="18"/>
                <w:szCs w:val="18"/>
                <w:lang w:val="ro-MD"/>
              </w:rPr>
            </w:pPr>
          </w:p>
        </w:tc>
      </w:tr>
      <w:tr w:rsidR="008D7F28" w:rsidRPr="002460E2" w14:paraId="3F3E3AD7" w14:textId="77777777" w:rsidTr="003F5B3C">
        <w:trPr>
          <w:trHeight w:val="918"/>
        </w:trPr>
        <w:tc>
          <w:tcPr>
            <w:tcW w:w="4253" w:type="dxa"/>
          </w:tcPr>
          <w:p w14:paraId="51F268F3" w14:textId="67240AE6" w:rsidR="008D7F28" w:rsidRPr="002460E2" w:rsidRDefault="008D7F28" w:rsidP="008D7F28">
            <w:pPr>
              <w:rPr>
                <w:sz w:val="18"/>
                <w:szCs w:val="18"/>
                <w:lang w:val="en-US"/>
              </w:rPr>
            </w:pPr>
            <w:r w:rsidRPr="002460E2">
              <w:rPr>
                <w:sz w:val="18"/>
                <w:szCs w:val="18"/>
                <w:lang w:val="en-US"/>
              </w:rPr>
              <w:lastRenderedPageBreak/>
              <w:t>(3) Instituțiile nu au obligația de a face distincție între variantele </w:t>
            </w:r>
            <w:r w:rsidRPr="002460E2">
              <w:rPr>
                <w:i/>
                <w:iCs/>
                <w:sz w:val="18"/>
                <w:szCs w:val="18"/>
                <w:lang w:val="en-US"/>
              </w:rPr>
              <w:t>onshore</w:t>
            </w:r>
            <w:r w:rsidRPr="002460E2">
              <w:rPr>
                <w:sz w:val="18"/>
                <w:szCs w:val="18"/>
                <w:lang w:val="en-US"/>
              </w:rPr>
              <w:t> și </w:t>
            </w:r>
            <w:r w:rsidRPr="002460E2">
              <w:rPr>
                <w:i/>
                <w:iCs/>
                <w:sz w:val="18"/>
                <w:szCs w:val="18"/>
                <w:lang w:val="en-US"/>
              </w:rPr>
              <w:t>offshore</w:t>
            </w:r>
            <w:r w:rsidRPr="002460E2">
              <w:rPr>
                <w:sz w:val="18"/>
                <w:szCs w:val="18"/>
                <w:lang w:val="en-US"/>
              </w:rPr>
              <w:t> ale unei monede pentru factorii de risc valutar delta și vega.</w:t>
            </w:r>
          </w:p>
        </w:tc>
        <w:tc>
          <w:tcPr>
            <w:tcW w:w="3685" w:type="dxa"/>
            <w:shd w:val="clear" w:color="auto" w:fill="auto"/>
          </w:tcPr>
          <w:p w14:paraId="7CC64FD3" w14:textId="5283AACB" w:rsidR="00BA2C2E" w:rsidRPr="002460E2" w:rsidRDefault="00C8547D" w:rsidP="00BA2C2E">
            <w:pPr>
              <w:pStyle w:val="ListParagraph"/>
              <w:tabs>
                <w:tab w:val="left" w:pos="851"/>
                <w:tab w:val="left" w:pos="993"/>
              </w:tabs>
              <w:ind w:left="0"/>
              <w:jc w:val="both"/>
              <w:rPr>
                <w:sz w:val="18"/>
                <w:szCs w:val="18"/>
                <w:lang w:val="ro-MD"/>
              </w:rPr>
            </w:pPr>
            <w:r w:rsidRPr="002460E2">
              <w:rPr>
                <w:sz w:val="18"/>
                <w:szCs w:val="18"/>
                <w:lang w:val="ro-MD"/>
              </w:rPr>
              <w:t>52</w:t>
            </w:r>
            <w:r w:rsidR="00BA2C2E" w:rsidRPr="002460E2">
              <w:rPr>
                <w:sz w:val="18"/>
                <w:szCs w:val="18"/>
                <w:lang w:val="ro-MD"/>
              </w:rPr>
              <w:t>. Băncile nu au obligația de a face distincție între variantele </w:t>
            </w:r>
            <w:r w:rsidR="00BA2C2E" w:rsidRPr="002460E2">
              <w:rPr>
                <w:i/>
                <w:iCs/>
                <w:sz w:val="18"/>
                <w:szCs w:val="18"/>
                <w:lang w:val="ro-MD"/>
              </w:rPr>
              <w:t>onshore</w:t>
            </w:r>
            <w:r w:rsidR="00BA2C2E" w:rsidRPr="002460E2">
              <w:rPr>
                <w:sz w:val="18"/>
                <w:szCs w:val="18"/>
                <w:lang w:val="ro-MD"/>
              </w:rPr>
              <w:t> și </w:t>
            </w:r>
            <w:r w:rsidR="00BA2C2E" w:rsidRPr="002460E2">
              <w:rPr>
                <w:i/>
                <w:iCs/>
                <w:sz w:val="18"/>
                <w:szCs w:val="18"/>
                <w:lang w:val="ro-MD"/>
              </w:rPr>
              <w:t>offshore</w:t>
            </w:r>
            <w:r w:rsidR="00BA2C2E" w:rsidRPr="002460E2">
              <w:rPr>
                <w:sz w:val="18"/>
                <w:szCs w:val="18"/>
                <w:lang w:val="ro-MD"/>
              </w:rPr>
              <w:t> ale unei monede pentru factorii de risc valutar delta și vega.</w:t>
            </w:r>
          </w:p>
          <w:p w14:paraId="5BB1018D"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30955ECE" w14:textId="60D07F02"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05CBBB9A" w14:textId="77777777" w:rsidR="008D7F28" w:rsidRPr="002460E2" w:rsidRDefault="008D7F28" w:rsidP="008D7F28">
            <w:pPr>
              <w:jc w:val="both"/>
              <w:rPr>
                <w:sz w:val="18"/>
                <w:szCs w:val="18"/>
                <w:lang w:val="ro-MD"/>
              </w:rPr>
            </w:pPr>
          </w:p>
        </w:tc>
      </w:tr>
      <w:tr w:rsidR="003E7AAE" w:rsidRPr="002460E2" w14:paraId="5F058A1C" w14:textId="77777777" w:rsidTr="003F5B3C">
        <w:trPr>
          <w:trHeight w:val="918"/>
        </w:trPr>
        <w:tc>
          <w:tcPr>
            <w:tcW w:w="4253" w:type="dxa"/>
          </w:tcPr>
          <w:p w14:paraId="51332B6B" w14:textId="77777777" w:rsidR="003E7AAE" w:rsidRPr="002460E2" w:rsidRDefault="003E7AAE" w:rsidP="003E7AAE">
            <w:pPr>
              <w:rPr>
                <w:i/>
                <w:iCs/>
                <w:sz w:val="18"/>
                <w:szCs w:val="18"/>
                <w:lang w:val="ro-MD" w:eastAsia="en-US"/>
              </w:rPr>
            </w:pPr>
            <w:r w:rsidRPr="002460E2">
              <w:rPr>
                <w:i/>
                <w:iCs/>
                <w:sz w:val="18"/>
                <w:szCs w:val="18"/>
                <w:lang w:val="ro-MD" w:eastAsia="en-US"/>
              </w:rPr>
              <w:t>Articolul 383e</w:t>
            </w:r>
          </w:p>
          <w:p w14:paraId="331580AA" w14:textId="77777777" w:rsidR="003E7AAE" w:rsidRPr="002460E2" w:rsidRDefault="003E7AAE" w:rsidP="003E7AAE">
            <w:pPr>
              <w:rPr>
                <w:b/>
                <w:bCs/>
                <w:sz w:val="18"/>
                <w:szCs w:val="18"/>
                <w:lang w:val="ro-MD" w:eastAsia="en-US"/>
              </w:rPr>
            </w:pPr>
            <w:r w:rsidRPr="002460E2">
              <w:rPr>
                <w:b/>
                <w:bCs/>
                <w:sz w:val="18"/>
                <w:szCs w:val="18"/>
                <w:lang w:val="ro-MD" w:eastAsia="en-US"/>
              </w:rPr>
              <w:t>Factorii de risc de marjă de credit al contrapărții</w:t>
            </w:r>
          </w:p>
          <w:p w14:paraId="55FE5DC5" w14:textId="5D7B1204" w:rsidR="003E7AAE" w:rsidRPr="002460E2" w:rsidRDefault="003E7AAE" w:rsidP="003E7AAE">
            <w:pPr>
              <w:rPr>
                <w:sz w:val="18"/>
                <w:szCs w:val="18"/>
                <w:lang w:val="ro-MD" w:eastAsia="en-US"/>
              </w:rPr>
            </w:pPr>
            <w:r w:rsidRPr="002460E2">
              <w:rPr>
                <w:sz w:val="18"/>
                <w:szCs w:val="18"/>
                <w:lang w:val="ro-MD" w:eastAsia="en-US"/>
              </w:rPr>
              <w:t>(1) Factorii de risc de marjă de credit al contrapărții delta aplicabili instrumentelor sensibile la marja de credit a contrapărții din portofoliul CVA sunt reprezentați de marjele de credit ale contrapărților individuale și de numele de referință și indicii calificați pentru următoarele scadențe: 0,5 ani, 1 an, 3 ani, 5 ani și 10 ani.</w:t>
            </w:r>
          </w:p>
        </w:tc>
        <w:tc>
          <w:tcPr>
            <w:tcW w:w="3685" w:type="dxa"/>
            <w:shd w:val="clear" w:color="auto" w:fill="auto"/>
          </w:tcPr>
          <w:p w14:paraId="3DC8EF61" w14:textId="77777777" w:rsidR="003E7AAE" w:rsidRPr="002460E2" w:rsidRDefault="003E7AAE" w:rsidP="003E7AAE">
            <w:pPr>
              <w:pStyle w:val="ListParagraph"/>
              <w:ind w:left="0"/>
              <w:jc w:val="center"/>
              <w:rPr>
                <w:i/>
                <w:iCs/>
                <w:sz w:val="18"/>
                <w:szCs w:val="18"/>
                <w:lang w:val="ro-MD"/>
              </w:rPr>
            </w:pPr>
            <w:r w:rsidRPr="002460E2">
              <w:rPr>
                <w:i/>
                <w:iCs/>
                <w:sz w:val="18"/>
                <w:szCs w:val="18"/>
                <w:lang w:val="ro-MD"/>
              </w:rPr>
              <w:t>Secțiunea a 6-a</w:t>
            </w:r>
          </w:p>
          <w:p w14:paraId="60943D58" w14:textId="77777777" w:rsidR="003E7AAE" w:rsidRPr="002460E2" w:rsidRDefault="003E7AAE" w:rsidP="003E7AAE">
            <w:pPr>
              <w:pStyle w:val="ListParagraph"/>
              <w:ind w:left="0"/>
              <w:jc w:val="center"/>
              <w:rPr>
                <w:b/>
                <w:bCs/>
                <w:sz w:val="18"/>
                <w:szCs w:val="18"/>
                <w:lang w:val="ro-MD"/>
              </w:rPr>
            </w:pPr>
            <w:r w:rsidRPr="002460E2">
              <w:rPr>
                <w:b/>
                <w:bCs/>
                <w:sz w:val="18"/>
                <w:szCs w:val="18"/>
                <w:lang w:val="ro-MD"/>
              </w:rPr>
              <w:t>Factorii de risc de marjă de credit al contrapărții</w:t>
            </w:r>
          </w:p>
          <w:p w14:paraId="32024265" w14:textId="384E50AD" w:rsidR="003E7AAE" w:rsidRPr="002460E2" w:rsidRDefault="00C8547D" w:rsidP="003E7AAE">
            <w:pPr>
              <w:pStyle w:val="ListParagraph"/>
              <w:ind w:left="0"/>
              <w:jc w:val="both"/>
              <w:rPr>
                <w:sz w:val="18"/>
                <w:szCs w:val="18"/>
                <w:lang w:val="ro-MD"/>
              </w:rPr>
            </w:pPr>
            <w:r w:rsidRPr="002460E2">
              <w:rPr>
                <w:sz w:val="18"/>
                <w:szCs w:val="18"/>
                <w:lang w:val="ro-MD"/>
              </w:rPr>
              <w:t>53</w:t>
            </w:r>
            <w:r w:rsidR="003E7AAE" w:rsidRPr="002460E2">
              <w:rPr>
                <w:sz w:val="18"/>
                <w:szCs w:val="18"/>
                <w:lang w:val="ro-MD"/>
              </w:rPr>
              <w:t>. Factorii de risc de marjă de credit al contrapărții delta aplicabili instrumentelor sensibile la marja de credit a contrapărții din portofoliul CVA sunt reprezentați de marjele de credit ale contrapărților individuale și de numele de referință și indicii calificați pentru următoarele scadențe: 0,5 ani, 1 an, 3 ani, 5 ani și 10 ani.</w:t>
            </w:r>
          </w:p>
          <w:p w14:paraId="1A6027A9" w14:textId="77777777" w:rsidR="003E7AAE" w:rsidRPr="002460E2" w:rsidRDefault="003E7AAE" w:rsidP="003E7AAE">
            <w:pPr>
              <w:pStyle w:val="ListParagraph"/>
              <w:ind w:left="0" w:firstLine="426"/>
              <w:jc w:val="both"/>
              <w:rPr>
                <w:rFonts w:eastAsiaTheme="minorHAnsi"/>
                <w:i/>
                <w:iCs/>
                <w:color w:val="000000"/>
                <w:sz w:val="18"/>
                <w:szCs w:val="18"/>
                <w:lang w:val="ro-MD" w:eastAsia="en-US"/>
                <w14:ligatures w14:val="standardContextual"/>
              </w:rPr>
            </w:pPr>
          </w:p>
        </w:tc>
        <w:tc>
          <w:tcPr>
            <w:tcW w:w="1229" w:type="dxa"/>
          </w:tcPr>
          <w:p w14:paraId="75DE30BE" w14:textId="29B4BC6E" w:rsidR="003E7AAE" w:rsidRPr="002460E2" w:rsidRDefault="00233328" w:rsidP="003E7AAE">
            <w:pPr>
              <w:jc w:val="both"/>
              <w:rPr>
                <w:sz w:val="18"/>
                <w:szCs w:val="18"/>
                <w:lang w:val="ro-MD"/>
              </w:rPr>
            </w:pPr>
            <w:r>
              <w:rPr>
                <w:sz w:val="18"/>
                <w:szCs w:val="18"/>
                <w:lang w:val="ro-MD"/>
              </w:rPr>
              <w:t>c</w:t>
            </w:r>
            <w:r w:rsidR="003E7AAE" w:rsidRPr="002460E2">
              <w:rPr>
                <w:sz w:val="18"/>
                <w:szCs w:val="18"/>
                <w:lang w:val="ro-MD"/>
              </w:rPr>
              <w:t>ompatibil</w:t>
            </w:r>
          </w:p>
        </w:tc>
        <w:tc>
          <w:tcPr>
            <w:tcW w:w="5292" w:type="dxa"/>
            <w:tcBorders>
              <w:top w:val="single" w:sz="4" w:space="0" w:color="auto"/>
              <w:bottom w:val="single" w:sz="4" w:space="0" w:color="auto"/>
            </w:tcBorders>
          </w:tcPr>
          <w:p w14:paraId="065C23AF" w14:textId="7370CAA9" w:rsidR="003E7AAE" w:rsidRPr="002460E2" w:rsidRDefault="003E7AAE" w:rsidP="003E7AAE">
            <w:pPr>
              <w:rPr>
                <w:sz w:val="18"/>
                <w:szCs w:val="18"/>
                <w:lang w:val="ro-MD"/>
              </w:rPr>
            </w:pPr>
          </w:p>
        </w:tc>
      </w:tr>
      <w:tr w:rsidR="008D7F28" w:rsidRPr="002460E2" w14:paraId="104E94DD" w14:textId="77777777" w:rsidTr="003F5B3C">
        <w:trPr>
          <w:trHeight w:val="918"/>
        </w:trPr>
        <w:tc>
          <w:tcPr>
            <w:tcW w:w="4253" w:type="dxa"/>
          </w:tcPr>
          <w:p w14:paraId="46433229" w14:textId="0BA53F53" w:rsidR="008D7F28" w:rsidRPr="002460E2" w:rsidRDefault="008D7F28" w:rsidP="008D7F28">
            <w:pPr>
              <w:pStyle w:val="CM4"/>
              <w:spacing w:before="60" w:after="60"/>
              <w:rPr>
                <w:rFonts w:ascii="Times New Roman" w:hAnsi="Times New Roman"/>
                <w:i/>
                <w:iCs/>
                <w:color w:val="000000"/>
                <w:sz w:val="18"/>
                <w:szCs w:val="18"/>
              </w:rPr>
            </w:pPr>
            <w:r w:rsidRPr="002460E2">
              <w:rPr>
                <w:rFonts w:ascii="Times New Roman" w:hAnsi="Times New Roman"/>
                <w:sz w:val="18"/>
                <w:szCs w:val="18"/>
                <w:lang w:val="ro-MD"/>
              </w:rPr>
              <w:t>(2) Clasa riscului de marjă de credit al contrapărții nu face obiectul cerințelor de fonduri proprii specifice riscului vega.</w:t>
            </w:r>
          </w:p>
        </w:tc>
        <w:tc>
          <w:tcPr>
            <w:tcW w:w="3685" w:type="dxa"/>
            <w:shd w:val="clear" w:color="auto" w:fill="auto"/>
          </w:tcPr>
          <w:p w14:paraId="28290EC6" w14:textId="2BB202F4" w:rsidR="00BA2C2E" w:rsidRPr="002460E2" w:rsidRDefault="00C8547D" w:rsidP="00BA2C2E">
            <w:pPr>
              <w:pStyle w:val="ListParagraph"/>
              <w:ind w:left="0"/>
              <w:jc w:val="both"/>
              <w:rPr>
                <w:sz w:val="18"/>
                <w:szCs w:val="18"/>
                <w:lang w:val="ro-MD"/>
              </w:rPr>
            </w:pPr>
            <w:r w:rsidRPr="002460E2">
              <w:rPr>
                <w:sz w:val="18"/>
                <w:szCs w:val="18"/>
                <w:lang w:val="ro-MD"/>
              </w:rPr>
              <w:t>54</w:t>
            </w:r>
            <w:r w:rsidR="00BA2C2E" w:rsidRPr="002460E2">
              <w:rPr>
                <w:sz w:val="18"/>
                <w:szCs w:val="18"/>
                <w:lang w:val="ro-MD"/>
              </w:rPr>
              <w:t>. Clasa riscului de marjă de credit al contrapărții nu face obiectul cerințelor de fonduri proprii specifice riscului vega.</w:t>
            </w:r>
          </w:p>
          <w:p w14:paraId="1AE8334D" w14:textId="77777777" w:rsidR="008D7F28" w:rsidRPr="002460E2" w:rsidRDefault="008D7F28" w:rsidP="00BA2C2E">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5904D3BC" w14:textId="3EC3A290" w:rsidR="008D7F28" w:rsidRPr="002460E2" w:rsidRDefault="00233328" w:rsidP="008D7F28">
            <w:pPr>
              <w:jc w:val="both"/>
              <w:rPr>
                <w:sz w:val="18"/>
                <w:szCs w:val="18"/>
                <w:lang w:val="ro-MD"/>
              </w:rPr>
            </w:pPr>
            <w:r>
              <w:rPr>
                <w:sz w:val="18"/>
                <w:szCs w:val="18"/>
                <w:lang w:val="ro-MD"/>
              </w:rPr>
              <w:t>c</w:t>
            </w:r>
            <w:r w:rsidR="003E7AAE" w:rsidRPr="002460E2">
              <w:rPr>
                <w:sz w:val="18"/>
                <w:szCs w:val="18"/>
                <w:lang w:val="ro-MD"/>
              </w:rPr>
              <w:t>ompatibil</w:t>
            </w:r>
          </w:p>
        </w:tc>
        <w:tc>
          <w:tcPr>
            <w:tcW w:w="5292" w:type="dxa"/>
            <w:tcBorders>
              <w:top w:val="single" w:sz="4" w:space="0" w:color="auto"/>
              <w:bottom w:val="single" w:sz="4" w:space="0" w:color="auto"/>
            </w:tcBorders>
          </w:tcPr>
          <w:p w14:paraId="708513DC" w14:textId="491BA291" w:rsidR="008D7F28" w:rsidRPr="002460E2" w:rsidRDefault="008D7F28" w:rsidP="008D7F28">
            <w:pPr>
              <w:rPr>
                <w:sz w:val="18"/>
                <w:szCs w:val="18"/>
                <w:lang w:val="ro-MD"/>
              </w:rPr>
            </w:pPr>
          </w:p>
        </w:tc>
      </w:tr>
      <w:tr w:rsidR="008D7F28" w:rsidRPr="002460E2" w14:paraId="62F9C368" w14:textId="77777777" w:rsidTr="003F5B3C">
        <w:trPr>
          <w:trHeight w:val="918"/>
        </w:trPr>
        <w:tc>
          <w:tcPr>
            <w:tcW w:w="4253" w:type="dxa"/>
          </w:tcPr>
          <w:p w14:paraId="5AFFD211" w14:textId="77777777" w:rsidR="008D7F28" w:rsidRPr="002460E2" w:rsidRDefault="008D7F28" w:rsidP="008D7F28">
            <w:pPr>
              <w:rPr>
                <w:i/>
                <w:iCs/>
                <w:sz w:val="18"/>
                <w:szCs w:val="18"/>
                <w:lang w:val="en-US"/>
              </w:rPr>
            </w:pPr>
            <w:r w:rsidRPr="002460E2">
              <w:rPr>
                <w:i/>
                <w:iCs/>
                <w:sz w:val="18"/>
                <w:szCs w:val="18"/>
                <w:lang w:val="en-US"/>
              </w:rPr>
              <w:t>Articolul 383f</w:t>
            </w:r>
          </w:p>
          <w:p w14:paraId="232AAE85" w14:textId="77777777" w:rsidR="008D7F28" w:rsidRPr="002460E2" w:rsidRDefault="008D7F28" w:rsidP="008D7F28">
            <w:pPr>
              <w:rPr>
                <w:b/>
                <w:bCs/>
                <w:sz w:val="18"/>
                <w:szCs w:val="18"/>
                <w:lang w:val="en-US"/>
              </w:rPr>
            </w:pPr>
            <w:r w:rsidRPr="002460E2">
              <w:rPr>
                <w:b/>
                <w:bCs/>
                <w:sz w:val="18"/>
                <w:szCs w:val="18"/>
                <w:lang w:val="en-US"/>
              </w:rPr>
              <w:t>Factorii de risc de marjă de credit de referință</w:t>
            </w:r>
          </w:p>
          <w:p w14:paraId="3FC76E34" w14:textId="67A9C307" w:rsidR="008D7F28" w:rsidRPr="002460E2" w:rsidRDefault="008D7F28" w:rsidP="008D7F28">
            <w:pPr>
              <w:rPr>
                <w:sz w:val="18"/>
                <w:szCs w:val="18"/>
                <w:lang w:val="en-US"/>
              </w:rPr>
            </w:pPr>
            <w:r w:rsidRPr="002460E2">
              <w:rPr>
                <w:sz w:val="18"/>
                <w:szCs w:val="18"/>
                <w:lang w:val="en-US"/>
              </w:rPr>
              <w:t>(1) Factorii de risc de marjă de credit de referință delta aplicabili instrumentelor sensibile la marjele de credit de referință din portofoliul CVA sunt reprezentați de marjele de credit ale tuturor scadențelor pentru toate numele de referință din cadrul aceleiași benzi. Se calculează o sensibilitate netă pentru fiecare bandă.</w:t>
            </w:r>
          </w:p>
          <w:p w14:paraId="5EDDA836" w14:textId="5CBA6549" w:rsidR="008D7F28" w:rsidRPr="002460E2" w:rsidRDefault="008D7F28" w:rsidP="008D7F28">
            <w:pPr>
              <w:rPr>
                <w:i/>
                <w:iCs/>
                <w:color w:val="000000"/>
                <w:sz w:val="18"/>
                <w:szCs w:val="18"/>
              </w:rPr>
            </w:pPr>
          </w:p>
        </w:tc>
        <w:tc>
          <w:tcPr>
            <w:tcW w:w="3685" w:type="dxa"/>
            <w:shd w:val="clear" w:color="auto" w:fill="auto"/>
          </w:tcPr>
          <w:p w14:paraId="7774866A" w14:textId="77777777" w:rsidR="00BA2C2E" w:rsidRPr="002460E2" w:rsidRDefault="00BA2C2E" w:rsidP="00BA2C2E">
            <w:pPr>
              <w:ind w:left="786"/>
              <w:contextualSpacing/>
              <w:jc w:val="center"/>
              <w:rPr>
                <w:i/>
                <w:iCs/>
                <w:sz w:val="18"/>
                <w:szCs w:val="18"/>
                <w:lang w:val="ro-MD" w:eastAsia="en-US"/>
              </w:rPr>
            </w:pPr>
            <w:r w:rsidRPr="002460E2">
              <w:rPr>
                <w:i/>
                <w:iCs/>
                <w:sz w:val="18"/>
                <w:szCs w:val="18"/>
                <w:lang w:val="ro-MD" w:eastAsia="en-US"/>
              </w:rPr>
              <w:t>Secțiunea a 7-a</w:t>
            </w:r>
          </w:p>
          <w:p w14:paraId="4C558552" w14:textId="77777777" w:rsidR="00BA2C2E" w:rsidRPr="002460E2" w:rsidRDefault="00BA2C2E" w:rsidP="00BA2C2E">
            <w:pPr>
              <w:tabs>
                <w:tab w:val="left" w:pos="426"/>
                <w:tab w:val="left" w:pos="993"/>
              </w:tabs>
              <w:spacing w:after="160" w:line="259" w:lineRule="auto"/>
              <w:ind w:left="426"/>
              <w:contextualSpacing/>
              <w:jc w:val="center"/>
              <w:rPr>
                <w:b/>
                <w:bCs/>
                <w:sz w:val="18"/>
                <w:szCs w:val="18"/>
                <w:lang w:val="ro-MD" w:eastAsia="en-US"/>
              </w:rPr>
            </w:pPr>
            <w:r w:rsidRPr="002460E2">
              <w:rPr>
                <w:b/>
                <w:bCs/>
                <w:sz w:val="18"/>
                <w:szCs w:val="18"/>
                <w:lang w:val="ro-MD" w:eastAsia="en-US"/>
              </w:rPr>
              <w:t>Factorii de risc de marjă de credit de referință</w:t>
            </w:r>
          </w:p>
          <w:p w14:paraId="07E87B86" w14:textId="478B1EFB" w:rsidR="00BA2C2E" w:rsidRPr="002460E2" w:rsidRDefault="00C8547D" w:rsidP="00BA2C2E">
            <w:pPr>
              <w:tabs>
                <w:tab w:val="left" w:pos="709"/>
                <w:tab w:val="left" w:pos="993"/>
              </w:tabs>
              <w:spacing w:after="160" w:line="259" w:lineRule="auto"/>
              <w:contextualSpacing/>
              <w:jc w:val="both"/>
              <w:rPr>
                <w:sz w:val="18"/>
                <w:szCs w:val="18"/>
                <w:lang w:val="ro-MD" w:eastAsia="en-US"/>
              </w:rPr>
            </w:pPr>
            <w:r w:rsidRPr="002460E2">
              <w:rPr>
                <w:sz w:val="18"/>
                <w:szCs w:val="18"/>
                <w:lang w:val="ro-MD" w:eastAsia="en-US"/>
              </w:rPr>
              <w:t>55</w:t>
            </w:r>
            <w:r w:rsidR="00BA2C2E" w:rsidRPr="002460E2">
              <w:rPr>
                <w:sz w:val="18"/>
                <w:szCs w:val="18"/>
                <w:lang w:val="ro-MD" w:eastAsia="en-US"/>
              </w:rPr>
              <w:t>. Factorii de risc de marjă de credit de referință delta aplicabili instrumentelor sensibile la marjele de credit de referință din portofoliul CVA sunt reprezentați de marjele de credit ale tuturor scadențelor pentru toate numele de referință din cadrul aceleiași benzi. Se calculează o sensibilitate netă pentru fiecare bandă.</w:t>
            </w:r>
          </w:p>
          <w:p w14:paraId="788B0F55" w14:textId="77777777" w:rsidR="008D7F28" w:rsidRPr="002460E2" w:rsidRDefault="008D7F28" w:rsidP="00BA2C2E">
            <w:pPr>
              <w:tabs>
                <w:tab w:val="left" w:pos="851"/>
                <w:tab w:val="left" w:pos="993"/>
              </w:tabs>
              <w:spacing w:after="160" w:line="259" w:lineRule="auto"/>
              <w:ind w:firstLine="426"/>
              <w:contextualSpacing/>
              <w:jc w:val="both"/>
              <w:rPr>
                <w:rFonts w:eastAsiaTheme="minorHAnsi"/>
                <w:i/>
                <w:iCs/>
                <w:color w:val="000000"/>
                <w:sz w:val="18"/>
                <w:szCs w:val="18"/>
                <w:lang w:val="ro-MD" w:eastAsia="en-US"/>
                <w14:ligatures w14:val="standardContextual"/>
              </w:rPr>
            </w:pPr>
          </w:p>
        </w:tc>
        <w:tc>
          <w:tcPr>
            <w:tcW w:w="1229" w:type="dxa"/>
          </w:tcPr>
          <w:p w14:paraId="09D8296B" w14:textId="25BE219F"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E47BDD6" w14:textId="4438612D" w:rsidR="008D7F28" w:rsidRPr="002460E2" w:rsidRDefault="008D7F28" w:rsidP="008D7F28">
            <w:pPr>
              <w:rPr>
                <w:sz w:val="18"/>
                <w:szCs w:val="18"/>
                <w:lang w:val="ro-MD"/>
              </w:rPr>
            </w:pPr>
          </w:p>
        </w:tc>
      </w:tr>
      <w:tr w:rsidR="008D7F28" w:rsidRPr="002460E2" w14:paraId="43EAA930" w14:textId="77777777" w:rsidTr="003F5B3C">
        <w:trPr>
          <w:trHeight w:val="918"/>
        </w:trPr>
        <w:tc>
          <w:tcPr>
            <w:tcW w:w="4253" w:type="dxa"/>
          </w:tcPr>
          <w:p w14:paraId="5A010B59" w14:textId="58274B04" w:rsidR="008D7F28" w:rsidRPr="002460E2" w:rsidRDefault="008D7F28" w:rsidP="008D7F28">
            <w:pPr>
              <w:rPr>
                <w:sz w:val="18"/>
                <w:szCs w:val="18"/>
                <w:lang w:val="en-US"/>
              </w:rPr>
            </w:pPr>
            <w:r w:rsidRPr="002460E2">
              <w:rPr>
                <w:sz w:val="18"/>
                <w:szCs w:val="18"/>
                <w:lang w:val="en-US"/>
              </w:rPr>
              <w:lastRenderedPageBreak/>
              <w:t>(2) Factorii de risc de marjă de credit de referință vega aplicabili instrumentelor din portofoliul CVA sensibile la volatilitatea marjei de credit de referință sunt reprezentați de volatilitățile marjelor de credit aferente tuturor momentelor specifice pentru toate numele de referință din cadrul unei benzi. Se calculează o sensibilitate netă pentru fiecare bandă.</w:t>
            </w:r>
          </w:p>
        </w:tc>
        <w:tc>
          <w:tcPr>
            <w:tcW w:w="3685" w:type="dxa"/>
            <w:shd w:val="clear" w:color="auto" w:fill="auto"/>
          </w:tcPr>
          <w:p w14:paraId="751D3A42" w14:textId="3B1D5B7E" w:rsidR="008D7F28" w:rsidRPr="002460E2" w:rsidRDefault="00BA2C2E" w:rsidP="003E7AAE">
            <w:pPr>
              <w:tabs>
                <w:tab w:val="left" w:pos="851"/>
                <w:tab w:val="left" w:pos="993"/>
              </w:tabs>
              <w:spacing w:after="160" w:line="259" w:lineRule="auto"/>
              <w:contextualSpacing/>
              <w:jc w:val="both"/>
              <w:rPr>
                <w:sz w:val="18"/>
                <w:szCs w:val="18"/>
                <w:lang w:val="ro-MD" w:eastAsia="en-US"/>
              </w:rPr>
            </w:pPr>
            <w:r w:rsidRPr="002460E2">
              <w:rPr>
                <w:sz w:val="18"/>
                <w:szCs w:val="18"/>
                <w:lang w:val="ro-MD" w:eastAsia="en-US"/>
              </w:rPr>
              <w:t>5</w:t>
            </w:r>
            <w:r w:rsidR="00C8547D" w:rsidRPr="002460E2">
              <w:rPr>
                <w:sz w:val="18"/>
                <w:szCs w:val="18"/>
                <w:lang w:val="ro-MD" w:eastAsia="en-US"/>
              </w:rPr>
              <w:t>6</w:t>
            </w:r>
            <w:r w:rsidRPr="002460E2">
              <w:rPr>
                <w:sz w:val="18"/>
                <w:szCs w:val="18"/>
                <w:lang w:val="ro-MD" w:eastAsia="en-US"/>
              </w:rPr>
              <w:t>. Factorii de risc de marjă de credit de referință vega aplicabili instrumentelor din portofoliul CVA sensibile la volatilitatea marjei de credit de referință sunt reprezentați de volatilitățile marjelor de credit aferente tuturor momentelor specifice pentru toate numele de referință din cadrul unei benzi. Se calculează o sensibilitate netă pentru fiecare bandă.</w:t>
            </w:r>
          </w:p>
        </w:tc>
        <w:tc>
          <w:tcPr>
            <w:tcW w:w="1229" w:type="dxa"/>
          </w:tcPr>
          <w:p w14:paraId="7D50E983" w14:textId="0393E3A1"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4601A549" w14:textId="41F4E6A5" w:rsidR="008D7F28" w:rsidRPr="002460E2" w:rsidRDefault="008D7F28" w:rsidP="008D7F28">
            <w:pPr>
              <w:rPr>
                <w:sz w:val="18"/>
                <w:szCs w:val="18"/>
                <w:lang w:val="ro-MD"/>
              </w:rPr>
            </w:pPr>
          </w:p>
        </w:tc>
      </w:tr>
      <w:tr w:rsidR="008D7F28" w:rsidRPr="002460E2" w14:paraId="3ABB6CB5" w14:textId="77777777" w:rsidTr="003F5B3C">
        <w:trPr>
          <w:trHeight w:val="918"/>
        </w:trPr>
        <w:tc>
          <w:tcPr>
            <w:tcW w:w="4253" w:type="dxa"/>
          </w:tcPr>
          <w:p w14:paraId="25AD04D3" w14:textId="77777777" w:rsidR="008D7F28" w:rsidRPr="002460E2" w:rsidRDefault="008D7F28" w:rsidP="008D7F28">
            <w:pPr>
              <w:rPr>
                <w:i/>
                <w:iCs/>
                <w:sz w:val="18"/>
                <w:szCs w:val="18"/>
                <w:lang w:val="en-US"/>
              </w:rPr>
            </w:pPr>
            <w:r w:rsidRPr="002460E2">
              <w:rPr>
                <w:i/>
                <w:iCs/>
                <w:sz w:val="18"/>
                <w:szCs w:val="18"/>
                <w:lang w:val="en-US"/>
              </w:rPr>
              <w:t>Articolul 383g</w:t>
            </w:r>
          </w:p>
          <w:p w14:paraId="799EC932" w14:textId="77777777" w:rsidR="008D7F28" w:rsidRPr="002460E2" w:rsidRDefault="008D7F28" w:rsidP="008D7F28">
            <w:pPr>
              <w:rPr>
                <w:b/>
                <w:bCs/>
                <w:sz w:val="18"/>
                <w:szCs w:val="18"/>
                <w:lang w:val="en-US"/>
              </w:rPr>
            </w:pPr>
            <w:r w:rsidRPr="002460E2">
              <w:rPr>
                <w:b/>
                <w:bCs/>
                <w:sz w:val="18"/>
                <w:szCs w:val="18"/>
                <w:lang w:val="en-US"/>
              </w:rPr>
              <w:t>Factorii de risc de devalorizare a titlurilor de capital</w:t>
            </w:r>
          </w:p>
          <w:p w14:paraId="2CAA6F61" w14:textId="0D0AEB13" w:rsidR="008D7F28" w:rsidRPr="002460E2" w:rsidRDefault="008D7F28" w:rsidP="008D7F28">
            <w:pPr>
              <w:rPr>
                <w:sz w:val="18"/>
                <w:szCs w:val="18"/>
                <w:lang w:val="en-US"/>
              </w:rPr>
            </w:pPr>
            <w:r w:rsidRPr="002460E2">
              <w:rPr>
                <w:sz w:val="18"/>
                <w:szCs w:val="18"/>
                <w:lang w:val="en-US"/>
              </w:rPr>
              <w:t>(1) Benzile pentru toți factorii de risc de devalorizare a titlurilor de capital sunt benzile menționate la articolul 383t.</w:t>
            </w:r>
          </w:p>
          <w:p w14:paraId="46BCCB33" w14:textId="41F2BB18" w:rsidR="008D7F28" w:rsidRPr="002460E2" w:rsidRDefault="008D7F28" w:rsidP="008D7F28">
            <w:pPr>
              <w:rPr>
                <w:i/>
                <w:sz w:val="18"/>
                <w:szCs w:val="18"/>
                <w:lang w:val="ro-MD"/>
              </w:rPr>
            </w:pPr>
          </w:p>
        </w:tc>
        <w:tc>
          <w:tcPr>
            <w:tcW w:w="3685" w:type="dxa"/>
            <w:shd w:val="clear" w:color="auto" w:fill="auto"/>
          </w:tcPr>
          <w:p w14:paraId="7AFF2447" w14:textId="77777777" w:rsidR="003E7AAE" w:rsidRPr="002460E2" w:rsidRDefault="003E7AAE" w:rsidP="003E7AAE">
            <w:pPr>
              <w:pStyle w:val="ListParagraph"/>
              <w:ind w:left="786"/>
              <w:jc w:val="center"/>
              <w:rPr>
                <w:i/>
                <w:iCs/>
                <w:sz w:val="18"/>
                <w:szCs w:val="18"/>
                <w:lang w:val="ro-MD"/>
              </w:rPr>
            </w:pPr>
            <w:r w:rsidRPr="002460E2">
              <w:rPr>
                <w:i/>
                <w:iCs/>
                <w:sz w:val="18"/>
                <w:szCs w:val="18"/>
                <w:lang w:val="ro-MD"/>
              </w:rPr>
              <w:t>Secțiunea a 8-a</w:t>
            </w:r>
          </w:p>
          <w:p w14:paraId="291FA783" w14:textId="77777777" w:rsidR="003E7AAE" w:rsidRPr="002460E2" w:rsidRDefault="003E7AAE" w:rsidP="003E7AAE">
            <w:pPr>
              <w:pStyle w:val="ListParagraph"/>
              <w:tabs>
                <w:tab w:val="left" w:pos="426"/>
                <w:tab w:val="left" w:pos="993"/>
              </w:tabs>
              <w:ind w:left="426"/>
              <w:jc w:val="center"/>
              <w:rPr>
                <w:b/>
                <w:bCs/>
                <w:sz w:val="18"/>
                <w:szCs w:val="18"/>
                <w:lang w:val="ro-MD"/>
              </w:rPr>
            </w:pPr>
            <w:r w:rsidRPr="002460E2">
              <w:rPr>
                <w:b/>
                <w:bCs/>
                <w:sz w:val="18"/>
                <w:szCs w:val="18"/>
                <w:lang w:val="ro-MD"/>
              </w:rPr>
              <w:t>Factorii de risc de devalorizare a titlurilor de capital</w:t>
            </w:r>
          </w:p>
          <w:p w14:paraId="3E6A1FD6" w14:textId="6FF983BD" w:rsidR="003E7AAE" w:rsidRPr="002460E2" w:rsidRDefault="003E7AAE" w:rsidP="003E7AAE">
            <w:pPr>
              <w:pStyle w:val="ListParagraph"/>
              <w:tabs>
                <w:tab w:val="left" w:pos="993"/>
              </w:tabs>
              <w:ind w:left="0" w:firstLine="31"/>
              <w:jc w:val="both"/>
              <w:rPr>
                <w:sz w:val="18"/>
                <w:szCs w:val="18"/>
                <w:lang w:val="ro-MD"/>
              </w:rPr>
            </w:pPr>
            <w:r w:rsidRPr="002460E2">
              <w:rPr>
                <w:sz w:val="18"/>
                <w:szCs w:val="18"/>
                <w:lang w:val="ro-MD"/>
              </w:rPr>
              <w:t>5</w:t>
            </w:r>
            <w:r w:rsidR="00C8547D" w:rsidRPr="002460E2">
              <w:rPr>
                <w:sz w:val="18"/>
                <w:szCs w:val="18"/>
                <w:lang w:val="ro-MD"/>
              </w:rPr>
              <w:t>7</w:t>
            </w:r>
            <w:r w:rsidRPr="002460E2">
              <w:rPr>
                <w:sz w:val="18"/>
                <w:szCs w:val="18"/>
                <w:lang w:val="ro-MD"/>
              </w:rPr>
              <w:t>. Benzile pentru toți factorii de risc de devalorizare a titlurilor de capital sunt benzile menționate la punctele 9</w:t>
            </w:r>
            <w:r w:rsidR="00C8547D" w:rsidRPr="002460E2">
              <w:rPr>
                <w:sz w:val="18"/>
                <w:szCs w:val="18"/>
                <w:lang w:val="ro-MD"/>
              </w:rPr>
              <w:t>9 și</w:t>
            </w:r>
            <w:r w:rsidRPr="002460E2">
              <w:rPr>
                <w:sz w:val="18"/>
                <w:szCs w:val="18"/>
                <w:lang w:val="ro-MD"/>
              </w:rPr>
              <w:t xml:space="preserve"> </w:t>
            </w:r>
            <w:r w:rsidR="00C8547D" w:rsidRPr="002460E2">
              <w:rPr>
                <w:sz w:val="18"/>
                <w:szCs w:val="18"/>
                <w:lang w:val="ro-MD"/>
              </w:rPr>
              <w:t>100</w:t>
            </w:r>
            <w:r w:rsidRPr="002460E2">
              <w:rPr>
                <w:sz w:val="18"/>
                <w:szCs w:val="18"/>
                <w:lang w:val="ro-MD"/>
              </w:rPr>
              <w:t>.</w:t>
            </w:r>
          </w:p>
          <w:p w14:paraId="53CC466F" w14:textId="41396C2F" w:rsidR="008D7F28" w:rsidRPr="002460E2" w:rsidRDefault="008D7F28" w:rsidP="003E7AAE">
            <w:pPr>
              <w:pStyle w:val="ListParagraph"/>
              <w:tabs>
                <w:tab w:val="left" w:pos="851"/>
                <w:tab w:val="left" w:pos="993"/>
              </w:tabs>
              <w:ind w:left="0" w:firstLine="31"/>
              <w:jc w:val="both"/>
              <w:rPr>
                <w:rFonts w:eastAsiaTheme="minorHAnsi"/>
                <w:i/>
                <w:iCs/>
                <w:color w:val="000000"/>
                <w:sz w:val="18"/>
                <w:szCs w:val="18"/>
                <w:lang w:val="ro-MD" w:eastAsia="en-US"/>
                <w14:ligatures w14:val="standardContextual"/>
              </w:rPr>
            </w:pPr>
          </w:p>
        </w:tc>
        <w:tc>
          <w:tcPr>
            <w:tcW w:w="1229" w:type="dxa"/>
          </w:tcPr>
          <w:p w14:paraId="5EB6E12C" w14:textId="48A18286" w:rsidR="008D7F28" w:rsidRPr="002460E2" w:rsidRDefault="00233328" w:rsidP="008D7F28">
            <w:pPr>
              <w:jc w:val="both"/>
              <w:rPr>
                <w:sz w:val="18"/>
                <w:szCs w:val="18"/>
                <w:lang w:val="ro-MD"/>
              </w:rPr>
            </w:pPr>
            <w:r>
              <w:rPr>
                <w:sz w:val="18"/>
                <w:szCs w:val="18"/>
                <w:lang w:val="ro-MD"/>
              </w:rPr>
              <w:t>c</w:t>
            </w:r>
            <w:r w:rsidR="003E7AAE" w:rsidRPr="002460E2">
              <w:rPr>
                <w:sz w:val="18"/>
                <w:szCs w:val="18"/>
                <w:lang w:val="ro-MD"/>
              </w:rPr>
              <w:t>ompatibil</w:t>
            </w:r>
          </w:p>
        </w:tc>
        <w:tc>
          <w:tcPr>
            <w:tcW w:w="5292" w:type="dxa"/>
            <w:tcBorders>
              <w:top w:val="single" w:sz="4" w:space="0" w:color="auto"/>
              <w:bottom w:val="single" w:sz="4" w:space="0" w:color="auto"/>
            </w:tcBorders>
          </w:tcPr>
          <w:p w14:paraId="14A7C6F9" w14:textId="22E613BF" w:rsidR="008D7F28" w:rsidRPr="002460E2" w:rsidRDefault="008D7F28" w:rsidP="008D7F28">
            <w:pPr>
              <w:rPr>
                <w:sz w:val="18"/>
                <w:szCs w:val="18"/>
                <w:lang w:val="ro-MD"/>
              </w:rPr>
            </w:pPr>
          </w:p>
        </w:tc>
      </w:tr>
      <w:tr w:rsidR="008D7F28" w:rsidRPr="002460E2" w14:paraId="27243F32" w14:textId="77777777" w:rsidTr="003F5B3C">
        <w:trPr>
          <w:trHeight w:val="918"/>
        </w:trPr>
        <w:tc>
          <w:tcPr>
            <w:tcW w:w="4253" w:type="dxa"/>
          </w:tcPr>
          <w:p w14:paraId="6C25039B" w14:textId="5203F406" w:rsidR="008D7F28" w:rsidRPr="002460E2" w:rsidRDefault="008D7F28" w:rsidP="008D7F28">
            <w:pPr>
              <w:rPr>
                <w:sz w:val="18"/>
                <w:szCs w:val="18"/>
                <w:lang w:val="en-US"/>
              </w:rPr>
            </w:pPr>
            <w:r w:rsidRPr="002460E2">
              <w:rPr>
                <w:sz w:val="18"/>
                <w:szCs w:val="18"/>
                <w:lang w:val="en-US"/>
              </w:rPr>
              <w:t>(2) Factorii de risc de devalorizare a titlurilor de capital delta pe care instituțiile trebuie să îi aplice instrumentelor din portofoliul CVA care sunt sensibile la prețurile spot ale titlurilor de capital sunt prețurile spot ale tuturor titlurilor de capital puse în corespondență cu aceeași bandă menționată la alineatul (1). Se calculează o sensibilitate netă pentru fiecare bandă.</w:t>
            </w:r>
          </w:p>
        </w:tc>
        <w:tc>
          <w:tcPr>
            <w:tcW w:w="3685" w:type="dxa"/>
            <w:shd w:val="clear" w:color="auto" w:fill="auto"/>
          </w:tcPr>
          <w:p w14:paraId="251FD3F7" w14:textId="187F3CB4" w:rsidR="003E7AAE" w:rsidRPr="002460E2" w:rsidRDefault="003E7AAE" w:rsidP="003E7AAE">
            <w:pPr>
              <w:pStyle w:val="ListParagraph"/>
              <w:tabs>
                <w:tab w:val="left" w:pos="851"/>
                <w:tab w:val="left" w:pos="993"/>
              </w:tabs>
              <w:ind w:left="0" w:firstLine="31"/>
              <w:jc w:val="both"/>
              <w:rPr>
                <w:sz w:val="18"/>
                <w:szCs w:val="18"/>
                <w:lang w:val="ro-MD"/>
              </w:rPr>
            </w:pPr>
            <w:r w:rsidRPr="002460E2">
              <w:rPr>
                <w:sz w:val="18"/>
                <w:szCs w:val="18"/>
                <w:lang w:val="ro-MD"/>
              </w:rPr>
              <w:t>5</w:t>
            </w:r>
            <w:r w:rsidR="00C8547D" w:rsidRPr="002460E2">
              <w:rPr>
                <w:sz w:val="18"/>
                <w:szCs w:val="18"/>
                <w:lang w:val="ro-MD"/>
              </w:rPr>
              <w:t>8</w:t>
            </w:r>
            <w:r w:rsidRPr="002460E2">
              <w:rPr>
                <w:sz w:val="18"/>
                <w:szCs w:val="18"/>
                <w:lang w:val="ro-MD"/>
              </w:rPr>
              <w:t>. Factorii de risc de devalorizare a titlurilor de capital delta pe care băncile trebuie să îi aplice instrumentelor din portofoliul CVA care sunt sensibile la prețurile spot ale titlurilor de capital sunt prețurile spot ale tuturor titlurilor de capital puse în corespondență cu aceeași bandă menționată la punctul 5</w:t>
            </w:r>
            <w:r w:rsidR="00C8547D" w:rsidRPr="002460E2">
              <w:rPr>
                <w:sz w:val="18"/>
                <w:szCs w:val="18"/>
                <w:lang w:val="ro-MD"/>
              </w:rPr>
              <w:t>7</w:t>
            </w:r>
            <w:r w:rsidRPr="002460E2">
              <w:rPr>
                <w:sz w:val="18"/>
                <w:szCs w:val="18"/>
                <w:lang w:val="ro-MD"/>
              </w:rPr>
              <w:t>. Se calculează o sensibilitate netă pentru fiecare bandă.</w:t>
            </w:r>
          </w:p>
          <w:p w14:paraId="630853FB"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518ABBFE" w14:textId="1C81B8FD"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04D481DB" w14:textId="77777777" w:rsidR="008D7F28" w:rsidRPr="002460E2" w:rsidRDefault="008D7F28" w:rsidP="008D7F28">
            <w:pPr>
              <w:jc w:val="both"/>
              <w:rPr>
                <w:sz w:val="18"/>
                <w:szCs w:val="18"/>
                <w:lang w:val="ro-MD"/>
              </w:rPr>
            </w:pPr>
          </w:p>
        </w:tc>
      </w:tr>
      <w:tr w:rsidR="008D7F28" w:rsidRPr="002460E2" w14:paraId="7C163CAC" w14:textId="77777777" w:rsidTr="003F5B3C">
        <w:trPr>
          <w:trHeight w:val="918"/>
        </w:trPr>
        <w:tc>
          <w:tcPr>
            <w:tcW w:w="4253" w:type="dxa"/>
          </w:tcPr>
          <w:p w14:paraId="05ACCEEB" w14:textId="7CB55F12" w:rsidR="008D7F28" w:rsidRPr="002460E2" w:rsidRDefault="008D7F28" w:rsidP="008D7F28">
            <w:pPr>
              <w:rPr>
                <w:sz w:val="18"/>
                <w:szCs w:val="18"/>
                <w:lang w:val="en-US"/>
              </w:rPr>
            </w:pPr>
            <w:r w:rsidRPr="002460E2">
              <w:rPr>
                <w:sz w:val="18"/>
                <w:szCs w:val="18"/>
                <w:lang w:val="en-US"/>
              </w:rPr>
              <w:t>(3) Factorii de risc de devalorizare a titlurilor de capital vega pe care instituțiile trebuie să îi aplice instrumentelor din portofoliul CVA care sunt sensibile la volatilitatea titlurilor de capital sunt volatilitățile implicite ale tuturor titlurilor de capital puse în corespondență cu aceeași bandă menționată la alineatul (1). Se calculează o sensibilitate netă pentru fiecare bandă.</w:t>
            </w:r>
          </w:p>
        </w:tc>
        <w:tc>
          <w:tcPr>
            <w:tcW w:w="3685" w:type="dxa"/>
            <w:shd w:val="clear" w:color="auto" w:fill="auto"/>
          </w:tcPr>
          <w:p w14:paraId="65E0AA4C" w14:textId="340D7210" w:rsidR="003E7AAE" w:rsidRPr="002460E2" w:rsidRDefault="003E7AAE" w:rsidP="003E7AAE">
            <w:pPr>
              <w:pStyle w:val="ListParagraph"/>
              <w:tabs>
                <w:tab w:val="left" w:pos="993"/>
                <w:tab w:val="left" w:pos="1134"/>
              </w:tabs>
              <w:ind w:left="0" w:firstLine="31"/>
              <w:jc w:val="both"/>
              <w:rPr>
                <w:sz w:val="18"/>
                <w:szCs w:val="18"/>
                <w:lang w:val="ro-MD"/>
              </w:rPr>
            </w:pPr>
            <w:r w:rsidRPr="002460E2">
              <w:rPr>
                <w:sz w:val="18"/>
                <w:szCs w:val="18"/>
                <w:lang w:val="ro-MD"/>
              </w:rPr>
              <w:t>5</w:t>
            </w:r>
            <w:r w:rsidR="00FB32FD" w:rsidRPr="002460E2">
              <w:rPr>
                <w:sz w:val="18"/>
                <w:szCs w:val="18"/>
                <w:lang w:val="ro-MD"/>
              </w:rPr>
              <w:t>9</w:t>
            </w:r>
            <w:r w:rsidRPr="002460E2">
              <w:rPr>
                <w:sz w:val="18"/>
                <w:szCs w:val="18"/>
                <w:lang w:val="ro-MD"/>
              </w:rPr>
              <w:t>. Factorii de risc de devalorizare a titlurilor de capital vega pe care instituțiile trebuie să îi aplice instrumentelor din portofoliul CVA care sunt sensibile la volatilitatea titlurilor de capital sunt volatilitățile implicite ale tuturor titlurilor de capital puse în corespondență cu aceeași bandă menționată la punctul 5</w:t>
            </w:r>
            <w:r w:rsidR="00C8547D" w:rsidRPr="002460E2">
              <w:rPr>
                <w:sz w:val="18"/>
                <w:szCs w:val="18"/>
                <w:lang w:val="ro-MD"/>
              </w:rPr>
              <w:t>7</w:t>
            </w:r>
            <w:r w:rsidRPr="002460E2">
              <w:rPr>
                <w:sz w:val="18"/>
                <w:szCs w:val="18"/>
                <w:lang w:val="ro-MD"/>
              </w:rPr>
              <w:t>. Se calculează o sensibilitate netă pentru fiecare bandă.</w:t>
            </w:r>
          </w:p>
          <w:p w14:paraId="518AC6B1" w14:textId="77777777" w:rsidR="008D7F28" w:rsidRPr="002460E2" w:rsidRDefault="008D7F28" w:rsidP="008D7F28">
            <w:pPr>
              <w:autoSpaceDE w:val="0"/>
              <w:autoSpaceDN w:val="0"/>
              <w:adjustRightInd w:val="0"/>
              <w:spacing w:before="60" w:after="60"/>
              <w:jc w:val="center"/>
              <w:rPr>
                <w:rFonts w:eastAsiaTheme="minorHAnsi"/>
                <w:i/>
                <w:iCs/>
                <w:color w:val="000000"/>
                <w:sz w:val="18"/>
                <w:szCs w:val="18"/>
                <w:lang w:val="ro-MD" w:eastAsia="en-US"/>
                <w14:ligatures w14:val="standardContextual"/>
              </w:rPr>
            </w:pPr>
          </w:p>
        </w:tc>
        <w:tc>
          <w:tcPr>
            <w:tcW w:w="1229" w:type="dxa"/>
          </w:tcPr>
          <w:p w14:paraId="53F54C6A" w14:textId="718C0575"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74A7F7A7" w14:textId="51136D31" w:rsidR="008D7F28" w:rsidRPr="002460E2" w:rsidRDefault="008D7F28" w:rsidP="008D7F28">
            <w:pPr>
              <w:rPr>
                <w:sz w:val="18"/>
                <w:szCs w:val="18"/>
                <w:lang w:val="ro-MD"/>
              </w:rPr>
            </w:pPr>
          </w:p>
        </w:tc>
      </w:tr>
      <w:tr w:rsidR="008D7F28" w:rsidRPr="002460E2" w14:paraId="515FD4BF" w14:textId="77777777" w:rsidTr="003F5B3C">
        <w:trPr>
          <w:trHeight w:val="918"/>
        </w:trPr>
        <w:tc>
          <w:tcPr>
            <w:tcW w:w="4253" w:type="dxa"/>
          </w:tcPr>
          <w:p w14:paraId="3EE9B970" w14:textId="77777777" w:rsidR="008D7F28" w:rsidRPr="002460E2" w:rsidRDefault="008D7F28" w:rsidP="008D7F28">
            <w:pPr>
              <w:rPr>
                <w:i/>
                <w:iCs/>
                <w:sz w:val="18"/>
                <w:szCs w:val="18"/>
                <w:lang w:val="en-US"/>
              </w:rPr>
            </w:pPr>
            <w:r w:rsidRPr="002460E2">
              <w:rPr>
                <w:i/>
                <w:iCs/>
                <w:sz w:val="18"/>
                <w:szCs w:val="18"/>
                <w:lang w:val="en-US"/>
              </w:rPr>
              <w:lastRenderedPageBreak/>
              <w:t>Articolul 383h</w:t>
            </w:r>
          </w:p>
          <w:p w14:paraId="277BD6DB" w14:textId="77777777" w:rsidR="008D7F28" w:rsidRPr="002460E2" w:rsidRDefault="008D7F28" w:rsidP="008D7F28">
            <w:pPr>
              <w:rPr>
                <w:b/>
                <w:bCs/>
                <w:sz w:val="18"/>
                <w:szCs w:val="18"/>
                <w:lang w:val="en-US"/>
              </w:rPr>
            </w:pPr>
            <w:r w:rsidRPr="002460E2">
              <w:rPr>
                <w:b/>
                <w:bCs/>
                <w:sz w:val="18"/>
                <w:szCs w:val="18"/>
                <w:lang w:val="en-US"/>
              </w:rPr>
              <w:t>Factorii de risc de marfă</w:t>
            </w:r>
          </w:p>
          <w:p w14:paraId="546EB7DA" w14:textId="747BACC1" w:rsidR="008D7F28" w:rsidRPr="002460E2" w:rsidRDefault="008D7F28" w:rsidP="008D7F28">
            <w:pPr>
              <w:rPr>
                <w:sz w:val="18"/>
                <w:szCs w:val="18"/>
                <w:lang w:val="en-US"/>
              </w:rPr>
            </w:pPr>
            <w:r w:rsidRPr="002460E2">
              <w:rPr>
                <w:sz w:val="18"/>
                <w:szCs w:val="18"/>
                <w:lang w:val="en-US"/>
              </w:rPr>
              <w:t>(1) Benzile pentru toți factorii de risc de marfă sunt benzile sectoriale menționate la articolul 383x.</w:t>
            </w:r>
          </w:p>
          <w:p w14:paraId="6BBC189E" w14:textId="77777777" w:rsidR="008D7F28" w:rsidRPr="002460E2" w:rsidRDefault="008D7F28" w:rsidP="008D7F28">
            <w:pPr>
              <w:rPr>
                <w:i/>
                <w:sz w:val="18"/>
                <w:szCs w:val="18"/>
                <w:lang w:val="ro-MD"/>
              </w:rPr>
            </w:pPr>
          </w:p>
        </w:tc>
        <w:tc>
          <w:tcPr>
            <w:tcW w:w="3685" w:type="dxa"/>
            <w:shd w:val="clear" w:color="auto" w:fill="auto"/>
          </w:tcPr>
          <w:p w14:paraId="1F6B3246" w14:textId="77777777" w:rsidR="00F53980" w:rsidRPr="002460E2" w:rsidRDefault="00F53980" w:rsidP="00F53980">
            <w:pPr>
              <w:pStyle w:val="ListParagraph"/>
              <w:ind w:left="786"/>
              <w:jc w:val="center"/>
              <w:rPr>
                <w:i/>
                <w:iCs/>
                <w:sz w:val="18"/>
                <w:szCs w:val="18"/>
                <w:lang w:val="ro-MD"/>
              </w:rPr>
            </w:pPr>
            <w:r w:rsidRPr="002460E2">
              <w:rPr>
                <w:i/>
                <w:iCs/>
                <w:sz w:val="18"/>
                <w:szCs w:val="18"/>
                <w:lang w:val="ro-MD"/>
              </w:rPr>
              <w:t>Secțiunea a 9-a</w:t>
            </w:r>
          </w:p>
          <w:p w14:paraId="6E745D00" w14:textId="77777777" w:rsidR="00F53980" w:rsidRPr="002460E2" w:rsidRDefault="00F53980" w:rsidP="00F53980">
            <w:pPr>
              <w:pStyle w:val="ListParagraph"/>
              <w:tabs>
                <w:tab w:val="left" w:pos="993"/>
                <w:tab w:val="left" w:pos="1134"/>
              </w:tabs>
              <w:ind w:left="0"/>
              <w:jc w:val="center"/>
              <w:rPr>
                <w:b/>
                <w:bCs/>
                <w:sz w:val="18"/>
                <w:szCs w:val="18"/>
                <w:lang w:val="ro-MD"/>
              </w:rPr>
            </w:pPr>
            <w:r w:rsidRPr="002460E2">
              <w:rPr>
                <w:b/>
                <w:bCs/>
                <w:sz w:val="18"/>
                <w:szCs w:val="18"/>
                <w:lang w:val="ro-MD"/>
              </w:rPr>
              <w:t>Factorii de risc de marfă</w:t>
            </w:r>
          </w:p>
          <w:p w14:paraId="2A094B3A" w14:textId="06053480" w:rsidR="008D7F28" w:rsidRPr="002460E2" w:rsidRDefault="00FB32FD" w:rsidP="00FB32FD">
            <w:pPr>
              <w:pStyle w:val="ListParagraph"/>
              <w:tabs>
                <w:tab w:val="left" w:pos="993"/>
                <w:tab w:val="left" w:pos="1134"/>
              </w:tabs>
              <w:ind w:left="0"/>
              <w:jc w:val="both"/>
              <w:rPr>
                <w:sz w:val="18"/>
                <w:szCs w:val="18"/>
                <w:lang w:val="ro-MD"/>
              </w:rPr>
            </w:pPr>
            <w:r w:rsidRPr="002460E2">
              <w:rPr>
                <w:sz w:val="18"/>
                <w:szCs w:val="18"/>
                <w:lang w:val="ro-MD"/>
              </w:rPr>
              <w:t>60</w:t>
            </w:r>
            <w:r w:rsidR="00F53980" w:rsidRPr="002460E2">
              <w:rPr>
                <w:sz w:val="18"/>
                <w:szCs w:val="18"/>
                <w:lang w:val="ro-MD"/>
              </w:rPr>
              <w:t xml:space="preserve">. Benzile pentru toți factorii de risc de marfă sunt benzile sectoriale menționate la punctele </w:t>
            </w:r>
            <w:r w:rsidRPr="002460E2">
              <w:rPr>
                <w:sz w:val="18"/>
                <w:szCs w:val="18"/>
                <w:lang w:val="ro-MD"/>
              </w:rPr>
              <w:t>109 și 110.</w:t>
            </w:r>
          </w:p>
        </w:tc>
        <w:tc>
          <w:tcPr>
            <w:tcW w:w="1229" w:type="dxa"/>
          </w:tcPr>
          <w:p w14:paraId="4197C437" w14:textId="3DBD15C3"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5B02AA20" w14:textId="77777777" w:rsidR="008D7F28" w:rsidRPr="002460E2" w:rsidRDefault="008D7F28" w:rsidP="008D7F28">
            <w:pPr>
              <w:jc w:val="both"/>
              <w:rPr>
                <w:sz w:val="18"/>
                <w:szCs w:val="18"/>
                <w:lang w:val="ro-MD"/>
              </w:rPr>
            </w:pPr>
          </w:p>
        </w:tc>
      </w:tr>
      <w:tr w:rsidR="008D7F28" w:rsidRPr="002460E2" w14:paraId="19C3091B" w14:textId="77777777" w:rsidTr="003F5B3C">
        <w:trPr>
          <w:trHeight w:val="918"/>
        </w:trPr>
        <w:tc>
          <w:tcPr>
            <w:tcW w:w="4253" w:type="dxa"/>
          </w:tcPr>
          <w:p w14:paraId="35217DF2" w14:textId="6C0A65EC" w:rsidR="008D7F28" w:rsidRPr="002460E2" w:rsidRDefault="008D7F28" w:rsidP="008D7F28">
            <w:pPr>
              <w:rPr>
                <w:sz w:val="18"/>
                <w:szCs w:val="18"/>
                <w:lang w:val="en-US"/>
              </w:rPr>
            </w:pPr>
            <w:r w:rsidRPr="002460E2">
              <w:rPr>
                <w:sz w:val="18"/>
                <w:szCs w:val="18"/>
                <w:lang w:val="en-US"/>
              </w:rPr>
              <w:t>(2) Factorii de risc de marfă delta pe care instituțiile trebuie să îi aplice instrumentelor din portofoliul CVA care sunt sensibile la prețurile spot ale mărfurilor sunt prețurile spot ale tuturor mărfurilor puse în corespondență cu aceeași bandă sectorială menționată la alineatul (1). Se calculează o sensibilitate netă pentru fiecare bandă sectorială.</w:t>
            </w:r>
          </w:p>
        </w:tc>
        <w:tc>
          <w:tcPr>
            <w:tcW w:w="3685" w:type="dxa"/>
            <w:shd w:val="clear" w:color="auto" w:fill="auto"/>
          </w:tcPr>
          <w:p w14:paraId="703BEE30" w14:textId="67A577F3" w:rsidR="00F53980" w:rsidRPr="002460E2" w:rsidRDefault="00FB32FD" w:rsidP="00F53980">
            <w:pPr>
              <w:pStyle w:val="ListParagraph"/>
              <w:tabs>
                <w:tab w:val="left" w:pos="993"/>
                <w:tab w:val="left" w:pos="1134"/>
              </w:tabs>
              <w:ind w:left="0"/>
              <w:jc w:val="both"/>
              <w:rPr>
                <w:sz w:val="18"/>
                <w:szCs w:val="18"/>
                <w:lang w:val="ro-MD"/>
              </w:rPr>
            </w:pPr>
            <w:r w:rsidRPr="002460E2">
              <w:rPr>
                <w:sz w:val="18"/>
                <w:szCs w:val="18"/>
                <w:lang w:val="ro-MD"/>
              </w:rPr>
              <w:t>61</w:t>
            </w:r>
            <w:r w:rsidR="00F53980" w:rsidRPr="002460E2">
              <w:rPr>
                <w:sz w:val="18"/>
                <w:szCs w:val="18"/>
                <w:lang w:val="ro-MD"/>
              </w:rPr>
              <w:t xml:space="preserve">. Factorii de risc de marfă delta pe care băncile trebuie să îi aplice instrumentelor din portofoliul CVA care sunt sensibile la prețurile spot ale mărfurilor sunt prețurile spot ale tuturor mărfurilor puse în corespondență cu aceeași bandă sectorială menționată la punctul </w:t>
            </w:r>
            <w:r w:rsidRPr="002460E2">
              <w:rPr>
                <w:sz w:val="18"/>
                <w:szCs w:val="18"/>
                <w:lang w:val="ro-MD"/>
              </w:rPr>
              <w:t>60</w:t>
            </w:r>
            <w:r w:rsidR="00F53980" w:rsidRPr="002460E2">
              <w:rPr>
                <w:sz w:val="18"/>
                <w:szCs w:val="18"/>
                <w:lang w:val="ro-MD"/>
              </w:rPr>
              <w:t>. Se calculează o sensibilitate netă pentru fiecare bandă sectorială.</w:t>
            </w:r>
          </w:p>
          <w:p w14:paraId="60E97658" w14:textId="77777777" w:rsidR="008D7F28" w:rsidRPr="002460E2" w:rsidRDefault="008D7F28" w:rsidP="008D7F28">
            <w:pPr>
              <w:jc w:val="center"/>
              <w:rPr>
                <w:bCs/>
                <w:i/>
                <w:iCs/>
                <w:sz w:val="18"/>
                <w:szCs w:val="18"/>
                <w:lang w:val="ro-MD"/>
              </w:rPr>
            </w:pPr>
          </w:p>
        </w:tc>
        <w:tc>
          <w:tcPr>
            <w:tcW w:w="1229" w:type="dxa"/>
          </w:tcPr>
          <w:p w14:paraId="776DE81B" w14:textId="742ED619"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76CE091C" w14:textId="77777777" w:rsidR="008D7F28" w:rsidRPr="002460E2" w:rsidRDefault="008D7F28" w:rsidP="008D7F28">
            <w:pPr>
              <w:jc w:val="both"/>
              <w:rPr>
                <w:sz w:val="18"/>
                <w:szCs w:val="18"/>
                <w:lang w:val="ro-MD"/>
              </w:rPr>
            </w:pPr>
          </w:p>
        </w:tc>
      </w:tr>
      <w:tr w:rsidR="008D7F28" w:rsidRPr="002460E2" w14:paraId="01C53E4A" w14:textId="77777777" w:rsidTr="003F5B3C">
        <w:trPr>
          <w:trHeight w:val="918"/>
        </w:trPr>
        <w:tc>
          <w:tcPr>
            <w:tcW w:w="4253" w:type="dxa"/>
          </w:tcPr>
          <w:p w14:paraId="64EE9AF8" w14:textId="71683277" w:rsidR="008D7F28" w:rsidRPr="002460E2" w:rsidRDefault="008D7F28" w:rsidP="008D7F28">
            <w:pPr>
              <w:rPr>
                <w:sz w:val="18"/>
                <w:szCs w:val="18"/>
                <w:lang w:val="en-US"/>
              </w:rPr>
            </w:pPr>
            <w:r w:rsidRPr="002460E2">
              <w:rPr>
                <w:sz w:val="18"/>
                <w:szCs w:val="18"/>
                <w:lang w:val="en-US"/>
              </w:rPr>
              <w:t>(3) Factorii de risc de marfă vega pe care instituțiile trebuie să îi aplice instrumentelor din portofoliul CVA care sunt sensibile la volatilitatea prețurilor mărfurilor sunt volatilitățile implicite ale tuturor mărfurilor puse în corespondență cu aceeași bandă sectorială menționată la alineatul (1). Se calculează o sensibilitate netă pentru fiecare bandă sectorială.</w:t>
            </w:r>
          </w:p>
        </w:tc>
        <w:tc>
          <w:tcPr>
            <w:tcW w:w="3685" w:type="dxa"/>
            <w:shd w:val="clear" w:color="auto" w:fill="auto"/>
          </w:tcPr>
          <w:p w14:paraId="30BBFD21" w14:textId="4C296DAA" w:rsidR="008D7F28" w:rsidRPr="002460E2" w:rsidRDefault="00FB32FD" w:rsidP="00F53980">
            <w:pPr>
              <w:jc w:val="both"/>
              <w:rPr>
                <w:b/>
                <w:bCs/>
                <w:sz w:val="18"/>
                <w:szCs w:val="18"/>
                <w:lang w:val="ro-MD" w:eastAsia="en-US"/>
              </w:rPr>
            </w:pPr>
            <w:r w:rsidRPr="002460E2">
              <w:rPr>
                <w:sz w:val="18"/>
                <w:szCs w:val="18"/>
                <w:lang w:val="ro-MD"/>
              </w:rPr>
              <w:t>62</w:t>
            </w:r>
            <w:r w:rsidR="00F53980" w:rsidRPr="002460E2">
              <w:rPr>
                <w:sz w:val="18"/>
                <w:szCs w:val="18"/>
                <w:lang w:val="ro-MD"/>
              </w:rPr>
              <w:t xml:space="preserve">. Factorii de risc de marfă vega pe care băncile trebuie să îi aplice instrumentelor din portofoliul CVA care sunt sensibile la volatilitatea prețurilor mărfurilor sunt volatilitățile implicite ale tuturor mărfurilor puse în corespondență cu aceeași bandă sectorială menționată la punctul </w:t>
            </w:r>
            <w:r w:rsidRPr="002460E2">
              <w:rPr>
                <w:sz w:val="18"/>
                <w:szCs w:val="18"/>
                <w:lang w:val="ro-MD"/>
              </w:rPr>
              <w:t>60</w:t>
            </w:r>
            <w:r w:rsidR="00F53980" w:rsidRPr="002460E2">
              <w:rPr>
                <w:sz w:val="18"/>
                <w:szCs w:val="18"/>
                <w:lang w:val="ro-MD"/>
              </w:rPr>
              <w:t>. Se calculează o sensibilitate netă pentru fiecare bandă sectorială.</w:t>
            </w:r>
          </w:p>
        </w:tc>
        <w:tc>
          <w:tcPr>
            <w:tcW w:w="1229" w:type="dxa"/>
          </w:tcPr>
          <w:p w14:paraId="36EA9715" w14:textId="6045EE21"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4696D4BC" w14:textId="77777777" w:rsidR="008D7F28" w:rsidRPr="002460E2" w:rsidRDefault="008D7F28" w:rsidP="00F53980">
            <w:pPr>
              <w:rPr>
                <w:sz w:val="18"/>
                <w:szCs w:val="18"/>
                <w:lang w:val="ro-MD"/>
              </w:rPr>
            </w:pPr>
          </w:p>
        </w:tc>
      </w:tr>
      <w:tr w:rsidR="008D7F28" w:rsidRPr="002460E2" w14:paraId="35D642AB" w14:textId="77777777" w:rsidTr="003F5B3C">
        <w:trPr>
          <w:trHeight w:val="918"/>
        </w:trPr>
        <w:tc>
          <w:tcPr>
            <w:tcW w:w="4253" w:type="dxa"/>
          </w:tcPr>
          <w:p w14:paraId="62C2DAEC" w14:textId="77777777" w:rsidR="008D7F28" w:rsidRPr="002460E2" w:rsidRDefault="008D7F28" w:rsidP="008D7F28">
            <w:pPr>
              <w:rPr>
                <w:i/>
                <w:iCs/>
                <w:sz w:val="18"/>
                <w:szCs w:val="18"/>
                <w:lang w:val="en-US"/>
              </w:rPr>
            </w:pPr>
            <w:r w:rsidRPr="002460E2">
              <w:rPr>
                <w:i/>
                <w:iCs/>
                <w:sz w:val="18"/>
                <w:szCs w:val="18"/>
                <w:lang w:val="en-US"/>
              </w:rPr>
              <w:t>Articolul 383i</w:t>
            </w:r>
          </w:p>
          <w:p w14:paraId="68558E36" w14:textId="77777777" w:rsidR="008D7F28" w:rsidRPr="002460E2" w:rsidRDefault="008D7F28" w:rsidP="008D7F28">
            <w:pPr>
              <w:rPr>
                <w:b/>
                <w:bCs/>
                <w:sz w:val="18"/>
                <w:szCs w:val="18"/>
                <w:lang w:val="en-US"/>
              </w:rPr>
            </w:pPr>
            <w:r w:rsidRPr="002460E2">
              <w:rPr>
                <w:b/>
                <w:bCs/>
                <w:sz w:val="18"/>
                <w:szCs w:val="18"/>
                <w:lang w:val="en-US"/>
              </w:rPr>
              <w:t>Sensibilitățile la riscul delta</w:t>
            </w:r>
          </w:p>
          <w:p w14:paraId="18033CD4" w14:textId="35746D90" w:rsidR="008D7F28" w:rsidRPr="002460E2" w:rsidRDefault="008D7F28" w:rsidP="008D7F28">
            <w:pPr>
              <w:rPr>
                <w:sz w:val="18"/>
                <w:szCs w:val="18"/>
                <w:lang w:val="en-US"/>
              </w:rPr>
            </w:pPr>
            <w:r w:rsidRPr="002460E2">
              <w:rPr>
                <w:sz w:val="18"/>
                <w:szCs w:val="18"/>
                <w:lang w:val="en-US"/>
              </w:rPr>
              <w:t>(1) Instituțiile calculează sensibilitățile delta care constau în factorii de risc de rată a dobânzii după cum urmează:</w:t>
            </w:r>
          </w:p>
          <w:p w14:paraId="18A50827" w14:textId="4E9BFCD0" w:rsidR="008D7F28" w:rsidRPr="002460E2" w:rsidRDefault="008D7F28" w:rsidP="008D7F28">
            <w:pPr>
              <w:rPr>
                <w:sz w:val="18"/>
                <w:szCs w:val="18"/>
                <w:lang w:val="en-US"/>
              </w:rPr>
            </w:pPr>
            <w:r w:rsidRPr="002460E2">
              <w:rPr>
                <w:sz w:val="18"/>
                <w:szCs w:val="18"/>
                <w:lang w:val="en-US"/>
              </w:rPr>
              <w:t>(a) sensibilitățile delta ale CVA agregate la factorii de risc care constau în rate fără risc, precum și ale unei acoperiri eligibile la acești factori de risc se calculează după cum urmează:</w:t>
            </w:r>
          </w:p>
          <w:p w14:paraId="0E367359" w14:textId="77777777" w:rsidR="008D7F28" w:rsidRPr="002460E2" w:rsidRDefault="008D7F28" w:rsidP="008D7F28">
            <w:pPr>
              <w:rPr>
                <w:sz w:val="18"/>
                <w:szCs w:val="18"/>
              </w:rPr>
            </w:pPr>
            <w:r w:rsidRPr="002460E2">
              <w:rPr>
                <w:noProof/>
                <w:sz w:val="18"/>
                <w:szCs w:val="18"/>
              </w:rPr>
              <w:drawing>
                <wp:inline distT="0" distB="0" distL="0" distR="0" wp14:anchorId="1570E82A" wp14:editId="34C17356">
                  <wp:extent cx="2249070" cy="281835"/>
                  <wp:effectExtent l="0" t="0" r="0" b="4445"/>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898" cy="287578"/>
                          </a:xfrm>
                          <a:prstGeom prst="rect">
                            <a:avLst/>
                          </a:prstGeom>
                          <a:noFill/>
                          <a:ln>
                            <a:noFill/>
                          </a:ln>
                        </pic:spPr>
                      </pic:pic>
                    </a:graphicData>
                  </a:graphic>
                </wp:inline>
              </w:drawing>
            </w:r>
          </w:p>
          <w:p w14:paraId="59F3D321" w14:textId="77777777" w:rsidR="008D7F28" w:rsidRPr="002460E2" w:rsidRDefault="008D7F28" w:rsidP="008D7F28">
            <w:pPr>
              <w:rPr>
                <w:sz w:val="18"/>
                <w:szCs w:val="18"/>
              </w:rPr>
            </w:pPr>
            <w:r w:rsidRPr="002460E2">
              <w:rPr>
                <w:noProof/>
                <w:sz w:val="18"/>
                <w:szCs w:val="18"/>
              </w:rPr>
              <w:drawing>
                <wp:inline distT="0" distB="0" distL="0" distR="0" wp14:anchorId="0B8EF907" wp14:editId="776D3CC6">
                  <wp:extent cx="2263958" cy="275573"/>
                  <wp:effectExtent l="0" t="0" r="3175"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7092" cy="284475"/>
                          </a:xfrm>
                          <a:prstGeom prst="rect">
                            <a:avLst/>
                          </a:prstGeom>
                          <a:noFill/>
                          <a:ln>
                            <a:noFill/>
                          </a:ln>
                        </pic:spPr>
                      </pic:pic>
                    </a:graphicData>
                  </a:graphic>
                </wp:inline>
              </w:drawing>
            </w:r>
          </w:p>
          <w:p w14:paraId="79F782DC"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425"/>
              <w:gridCol w:w="3612"/>
            </w:tblGrid>
            <w:tr w:rsidR="008D7F28" w:rsidRPr="002460E2" w14:paraId="603F2522" w14:textId="77777777" w:rsidTr="005E4B33">
              <w:tc>
                <w:tcPr>
                  <w:tcW w:w="964" w:type="dxa"/>
                  <w:shd w:val="clear" w:color="auto" w:fill="auto"/>
                  <w:hideMark/>
                </w:tcPr>
                <w:p w14:paraId="27642503" w14:textId="77777777" w:rsidR="008D7F28" w:rsidRPr="002460E2" w:rsidRDefault="008D7F28" w:rsidP="008D7F28">
                  <w:pPr>
                    <w:rPr>
                      <w:sz w:val="18"/>
                      <w:szCs w:val="18"/>
                    </w:rPr>
                  </w:pPr>
                  <w:r w:rsidRPr="002460E2">
                    <w:rPr>
                      <w:noProof/>
                      <w:sz w:val="18"/>
                      <w:szCs w:val="18"/>
                    </w:rPr>
                    <w:lastRenderedPageBreak/>
                    <w:drawing>
                      <wp:inline distT="0" distB="0" distL="0" distR="0" wp14:anchorId="5FAD390E" wp14:editId="6DCD48C2">
                        <wp:extent cx="225468" cy="150197"/>
                        <wp:effectExtent l="0" t="0" r="3175" b="254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874" cy="155797"/>
                                </a:xfrm>
                                <a:prstGeom prst="rect">
                                  <a:avLst/>
                                </a:prstGeom>
                                <a:noFill/>
                                <a:ln>
                                  <a:noFill/>
                                </a:ln>
                              </pic:spPr>
                            </pic:pic>
                          </a:graphicData>
                        </a:graphic>
                      </wp:inline>
                    </w:drawing>
                  </w:r>
                </w:p>
              </w:tc>
              <w:tc>
                <w:tcPr>
                  <w:tcW w:w="8391" w:type="dxa"/>
                  <w:shd w:val="clear" w:color="auto" w:fill="auto"/>
                  <w:hideMark/>
                </w:tcPr>
                <w:p w14:paraId="47ECBDEE" w14:textId="77777777" w:rsidR="008D7F28" w:rsidRPr="002460E2" w:rsidRDefault="008D7F28" w:rsidP="008D7F28">
                  <w:pPr>
                    <w:rPr>
                      <w:sz w:val="18"/>
                      <w:szCs w:val="18"/>
                      <w:lang w:val="en-US"/>
                    </w:rPr>
                  </w:pPr>
                  <w:r w:rsidRPr="002460E2">
                    <w:rPr>
                      <w:sz w:val="18"/>
                      <w:szCs w:val="18"/>
                      <w:lang w:val="en-US"/>
                    </w:rPr>
                    <w:t>= sensibilitățile CVA agregate la un factor de risc de rată fără risc;</w:t>
                  </w:r>
                </w:p>
              </w:tc>
            </w:tr>
          </w:tbl>
          <w:p w14:paraId="718062BD" w14:textId="77777777" w:rsidR="008D7F28" w:rsidRPr="002460E2" w:rsidRDefault="008D7F28" w:rsidP="008D7F28">
            <w:pPr>
              <w:rPr>
                <w:vanish/>
                <w:sz w:val="18"/>
                <w:szCs w:val="18"/>
              </w:rPr>
            </w:pPr>
          </w:p>
          <w:tbl>
            <w:tblPr>
              <w:tblW w:w="4284" w:type="dxa"/>
              <w:tblLayout w:type="fixed"/>
              <w:tblCellMar>
                <w:left w:w="0" w:type="dxa"/>
                <w:right w:w="0" w:type="dxa"/>
              </w:tblCellMar>
              <w:tblLook w:val="04A0" w:firstRow="1" w:lastRow="0" w:firstColumn="1" w:lastColumn="0" w:noHBand="0" w:noVBand="1"/>
            </w:tblPr>
            <w:tblGrid>
              <w:gridCol w:w="157"/>
              <w:gridCol w:w="4127"/>
            </w:tblGrid>
            <w:tr w:rsidR="008D7F28" w:rsidRPr="002460E2" w14:paraId="54C69257" w14:textId="77777777" w:rsidTr="00FC3917">
              <w:trPr>
                <w:trHeight w:val="463"/>
              </w:trPr>
              <w:tc>
                <w:tcPr>
                  <w:tcW w:w="157" w:type="dxa"/>
                  <w:shd w:val="clear" w:color="auto" w:fill="auto"/>
                  <w:hideMark/>
                </w:tcPr>
                <w:p w14:paraId="6558E13F" w14:textId="77777777" w:rsidR="008D7F28" w:rsidRPr="002460E2" w:rsidRDefault="008D7F28" w:rsidP="008D7F28">
                  <w:pPr>
                    <w:rPr>
                      <w:sz w:val="18"/>
                      <w:szCs w:val="18"/>
                    </w:rPr>
                  </w:pPr>
                  <w:r w:rsidRPr="002460E2">
                    <w:rPr>
                      <w:i/>
                      <w:iCs/>
                      <w:sz w:val="18"/>
                      <w:szCs w:val="18"/>
                    </w:rPr>
                    <w:t>r</w:t>
                  </w:r>
                  <w:r w:rsidRPr="002460E2">
                    <w:rPr>
                      <w:i/>
                      <w:iCs/>
                      <w:sz w:val="18"/>
                      <w:szCs w:val="18"/>
                      <w:vertAlign w:val="subscript"/>
                    </w:rPr>
                    <w:t>kt</w:t>
                  </w:r>
                </w:p>
              </w:tc>
              <w:tc>
                <w:tcPr>
                  <w:tcW w:w="4127" w:type="dxa"/>
                  <w:shd w:val="clear" w:color="auto" w:fill="auto"/>
                  <w:hideMark/>
                </w:tcPr>
                <w:p w14:paraId="7E8FF95E" w14:textId="77777777" w:rsidR="008D7F28" w:rsidRPr="002460E2" w:rsidRDefault="008D7F28" w:rsidP="008D7F28">
                  <w:pPr>
                    <w:rPr>
                      <w:sz w:val="18"/>
                      <w:szCs w:val="18"/>
                      <w:lang w:val="en-US"/>
                    </w:rPr>
                  </w:pPr>
                  <w:r w:rsidRPr="002460E2">
                    <w:rPr>
                      <w:sz w:val="18"/>
                      <w:szCs w:val="18"/>
                      <w:lang w:val="en-US"/>
                    </w:rPr>
                    <w:t xml:space="preserve">= valoarea factorului de risc de rată fără risc k cu </w:t>
                  </w:r>
                </w:p>
                <w:p w14:paraId="1DC62001" w14:textId="321F8722" w:rsidR="008D7F28" w:rsidRPr="002460E2" w:rsidRDefault="008D7F28" w:rsidP="008D7F28">
                  <w:pPr>
                    <w:rPr>
                      <w:sz w:val="18"/>
                      <w:szCs w:val="18"/>
                      <w:lang w:val="en-US"/>
                    </w:rPr>
                  </w:pPr>
                  <w:r w:rsidRPr="002460E2">
                    <w:rPr>
                      <w:sz w:val="18"/>
                      <w:szCs w:val="18"/>
                      <w:lang w:val="en-US"/>
                    </w:rPr>
                    <w:t>scadența t;</w:t>
                  </w:r>
                </w:p>
              </w:tc>
            </w:tr>
          </w:tbl>
          <w:p w14:paraId="60E8F47C" w14:textId="77777777" w:rsidR="008D7F28" w:rsidRPr="002460E2" w:rsidRDefault="008D7F28" w:rsidP="008D7F28">
            <w:pPr>
              <w:rPr>
                <w:vanish/>
                <w:sz w:val="18"/>
                <w:szCs w:val="18"/>
              </w:rPr>
            </w:pPr>
          </w:p>
          <w:tbl>
            <w:tblPr>
              <w:tblW w:w="4894" w:type="dxa"/>
              <w:tblLayout w:type="fixed"/>
              <w:tblCellMar>
                <w:left w:w="0" w:type="dxa"/>
                <w:right w:w="0" w:type="dxa"/>
              </w:tblCellMar>
              <w:tblLook w:val="04A0" w:firstRow="1" w:lastRow="0" w:firstColumn="1" w:lastColumn="0" w:noHBand="0" w:noVBand="1"/>
            </w:tblPr>
            <w:tblGrid>
              <w:gridCol w:w="289"/>
              <w:gridCol w:w="4605"/>
            </w:tblGrid>
            <w:tr w:rsidR="008D7F28" w:rsidRPr="002460E2" w14:paraId="773661E2" w14:textId="77777777" w:rsidTr="00FC3917">
              <w:trPr>
                <w:trHeight w:val="766"/>
              </w:trPr>
              <w:tc>
                <w:tcPr>
                  <w:tcW w:w="289" w:type="dxa"/>
                  <w:shd w:val="clear" w:color="auto" w:fill="auto"/>
                  <w:hideMark/>
                </w:tcPr>
                <w:p w14:paraId="63F833ED"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4605" w:type="dxa"/>
                  <w:shd w:val="clear" w:color="auto" w:fill="auto"/>
                  <w:hideMark/>
                </w:tcPr>
                <w:p w14:paraId="67576CFF"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43ED071B" w14:textId="1FFD5B2A" w:rsidR="008D7F28" w:rsidRPr="002460E2" w:rsidRDefault="008D7F28" w:rsidP="008D7F28">
                  <w:pPr>
                    <w:rPr>
                      <w:sz w:val="18"/>
                      <w:szCs w:val="18"/>
                      <w:lang w:val="en-US"/>
                    </w:rPr>
                  </w:pPr>
                  <w:r w:rsidRPr="002460E2">
                    <w:rPr>
                      <w:sz w:val="18"/>
                      <w:szCs w:val="18"/>
                      <w:lang w:val="en-US"/>
                    </w:rPr>
                    <w:t>reglementară;</w:t>
                  </w:r>
                </w:p>
              </w:tc>
            </w:tr>
          </w:tbl>
          <w:p w14:paraId="7C561B7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01"/>
              <w:gridCol w:w="3736"/>
            </w:tblGrid>
            <w:tr w:rsidR="008D7F28" w:rsidRPr="002460E2" w14:paraId="275C9E4B" w14:textId="77777777" w:rsidTr="005E4B33">
              <w:tc>
                <w:tcPr>
                  <w:tcW w:w="675" w:type="dxa"/>
                  <w:shd w:val="clear" w:color="auto" w:fill="auto"/>
                  <w:hideMark/>
                </w:tcPr>
                <w:p w14:paraId="0E6810D4" w14:textId="77777777" w:rsidR="008D7F28" w:rsidRPr="002460E2" w:rsidRDefault="008D7F28" w:rsidP="008D7F28">
                  <w:pPr>
                    <w:rPr>
                      <w:sz w:val="18"/>
                      <w:szCs w:val="18"/>
                    </w:rPr>
                  </w:pPr>
                  <w:r w:rsidRPr="002460E2">
                    <w:rPr>
                      <w:i/>
                      <w:iCs/>
                      <w:sz w:val="18"/>
                      <w:szCs w:val="18"/>
                    </w:rPr>
                    <w:t>x,y</w:t>
                  </w:r>
                </w:p>
              </w:tc>
              <w:tc>
                <w:tcPr>
                  <w:tcW w:w="8680" w:type="dxa"/>
                  <w:shd w:val="clear" w:color="auto" w:fill="auto"/>
                  <w:hideMark/>
                </w:tcPr>
                <w:p w14:paraId="495A46D8" w14:textId="559F1CA5"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r</w:t>
                  </w:r>
                  <w:r w:rsidRPr="002460E2">
                    <w:rPr>
                      <w:i/>
                      <w:iCs/>
                      <w:sz w:val="18"/>
                      <w:szCs w:val="18"/>
                      <w:vertAlign w:val="subscript"/>
                      <w:lang w:val="en-US"/>
                    </w:rPr>
                    <w:t>kt</w:t>
                  </w:r>
                  <w:r w:rsidRPr="002460E2">
                    <w:rPr>
                      <w:i/>
                      <w:iCs/>
                      <w:sz w:val="18"/>
                      <w:szCs w:val="18"/>
                      <w:lang w:val="en-US"/>
                    </w:rPr>
                    <w:t> </w:t>
                  </w:r>
                  <w:r w:rsidRPr="002460E2">
                    <w:rPr>
                      <w:sz w:val="18"/>
                      <w:szCs w:val="18"/>
                      <w:lang w:val="en-US"/>
                    </w:rPr>
                    <w:t>în </w:t>
                  </w:r>
                  <w:r w:rsidRPr="002460E2">
                    <w:rPr>
                      <w:i/>
                      <w:iCs/>
                      <w:sz w:val="18"/>
                      <w:szCs w:val="18"/>
                      <w:lang w:val="en-US"/>
                    </w:rPr>
                    <w:t>V</w:t>
                  </w:r>
                  <w:r w:rsidRPr="002460E2">
                    <w:rPr>
                      <w:i/>
                      <w:iCs/>
                      <w:sz w:val="18"/>
                      <w:szCs w:val="18"/>
                      <w:vertAlign w:val="subscript"/>
                      <w:lang w:val="en-US"/>
                    </w:rPr>
                    <w:t>CVA</w:t>
                  </w:r>
                  <w:r w:rsidRPr="002460E2">
                    <w:rPr>
                      <w:sz w:val="18"/>
                      <w:szCs w:val="18"/>
                      <w:lang w:val="en-US"/>
                    </w:rPr>
                    <w:t>;</w:t>
                  </w:r>
                </w:p>
              </w:tc>
            </w:tr>
          </w:tbl>
          <w:p w14:paraId="27316436"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728"/>
              <w:gridCol w:w="3309"/>
            </w:tblGrid>
            <w:tr w:rsidR="008D7F28" w:rsidRPr="002460E2" w14:paraId="1E07D9B7" w14:textId="77777777" w:rsidTr="005E4B33">
              <w:tc>
                <w:tcPr>
                  <w:tcW w:w="1669" w:type="dxa"/>
                  <w:shd w:val="clear" w:color="auto" w:fill="auto"/>
                  <w:hideMark/>
                </w:tcPr>
                <w:p w14:paraId="2CDE319A" w14:textId="77777777" w:rsidR="008D7F28" w:rsidRPr="002460E2" w:rsidRDefault="008D7F28" w:rsidP="008D7F28">
                  <w:pPr>
                    <w:rPr>
                      <w:sz w:val="18"/>
                      <w:szCs w:val="18"/>
                    </w:rPr>
                  </w:pPr>
                  <w:r w:rsidRPr="002460E2">
                    <w:rPr>
                      <w:noProof/>
                      <w:sz w:val="18"/>
                      <w:szCs w:val="18"/>
                    </w:rPr>
                    <w:drawing>
                      <wp:inline distT="0" distB="0" distL="0" distR="0" wp14:anchorId="31F8815B" wp14:editId="24C9D3C1">
                        <wp:extent cx="419622" cy="176080"/>
                        <wp:effectExtent l="0" t="0" r="0"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684" cy="188695"/>
                                </a:xfrm>
                                <a:prstGeom prst="rect">
                                  <a:avLst/>
                                </a:prstGeom>
                                <a:noFill/>
                                <a:ln>
                                  <a:noFill/>
                                </a:ln>
                              </pic:spPr>
                            </pic:pic>
                          </a:graphicData>
                        </a:graphic>
                      </wp:inline>
                    </w:drawing>
                  </w:r>
                </w:p>
              </w:tc>
              <w:tc>
                <w:tcPr>
                  <w:tcW w:w="7686" w:type="dxa"/>
                  <w:shd w:val="clear" w:color="auto" w:fill="auto"/>
                  <w:hideMark/>
                </w:tcPr>
                <w:p w14:paraId="6321AD72"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rată fără risc;</w:t>
                  </w:r>
                </w:p>
              </w:tc>
            </w:tr>
          </w:tbl>
          <w:p w14:paraId="2E37F927"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0F44F7BE" w14:textId="77777777" w:rsidTr="005E4B33">
              <w:tc>
                <w:tcPr>
                  <w:tcW w:w="370" w:type="dxa"/>
                  <w:shd w:val="clear" w:color="auto" w:fill="auto"/>
                  <w:hideMark/>
                </w:tcPr>
                <w:p w14:paraId="345E256F"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1ACEEC1E"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63E0FA6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35"/>
              <w:gridCol w:w="3802"/>
            </w:tblGrid>
            <w:tr w:rsidR="008D7F28" w:rsidRPr="002460E2" w14:paraId="0C0CB433" w14:textId="77777777" w:rsidTr="005E4B33">
              <w:tc>
                <w:tcPr>
                  <w:tcW w:w="520" w:type="dxa"/>
                  <w:shd w:val="clear" w:color="auto" w:fill="auto"/>
                  <w:hideMark/>
                </w:tcPr>
                <w:p w14:paraId="48F24A95" w14:textId="77777777" w:rsidR="008D7F28" w:rsidRPr="002460E2" w:rsidRDefault="008D7F28" w:rsidP="008D7F28">
                  <w:pPr>
                    <w:rPr>
                      <w:sz w:val="18"/>
                      <w:szCs w:val="18"/>
                    </w:rPr>
                  </w:pPr>
                  <w:r w:rsidRPr="002460E2">
                    <w:rPr>
                      <w:i/>
                      <w:iCs/>
                      <w:sz w:val="18"/>
                      <w:szCs w:val="18"/>
                    </w:rPr>
                    <w:t>w,z</w:t>
                  </w:r>
                </w:p>
              </w:tc>
              <w:tc>
                <w:tcPr>
                  <w:tcW w:w="8835" w:type="dxa"/>
                  <w:shd w:val="clear" w:color="auto" w:fill="auto"/>
                  <w:hideMark/>
                </w:tcPr>
                <w:p w14:paraId="12240CD3"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r</w:t>
                  </w:r>
                  <w:r w:rsidRPr="002460E2">
                    <w:rPr>
                      <w:i/>
                      <w:iCs/>
                      <w:sz w:val="18"/>
                      <w:szCs w:val="18"/>
                      <w:vertAlign w:val="subscript"/>
                      <w:lang w:val="en-US"/>
                    </w:rPr>
                    <w:t>kt</w:t>
                  </w:r>
                  <w:r w:rsidRPr="002460E2">
                    <w:rPr>
                      <w:i/>
                      <w:iCs/>
                      <w:sz w:val="18"/>
                      <w:szCs w:val="18"/>
                      <w:lang w:val="en-US"/>
                    </w:rPr>
                    <w:t> </w:t>
                  </w:r>
                  <w:r w:rsidRPr="002460E2">
                    <w:rPr>
                      <w:sz w:val="18"/>
                      <w:szCs w:val="18"/>
                      <w:lang w:val="en-US"/>
                    </w:rPr>
                    <w:t>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1C3E22EE" w14:textId="294CBA03" w:rsidR="008D7F28" w:rsidRPr="002460E2" w:rsidRDefault="008D7F28" w:rsidP="008D7F28">
            <w:pPr>
              <w:rPr>
                <w:sz w:val="18"/>
                <w:szCs w:val="18"/>
                <w:lang w:val="en-US"/>
              </w:rPr>
            </w:pPr>
            <w:r w:rsidRPr="002460E2">
              <w:rPr>
                <w:sz w:val="18"/>
                <w:szCs w:val="18"/>
                <w:lang w:val="en-US"/>
              </w:rPr>
              <w:t>(b) sensibilitățile delta la factorii de risc care constau în rate ale inflației, precum și ale unei acoperiri eligibile la acești factori de risc se calculează după cum urmează:</w:t>
            </w:r>
          </w:p>
          <w:p w14:paraId="16CECAAC" w14:textId="77777777" w:rsidR="008D7F28" w:rsidRPr="002460E2" w:rsidRDefault="008D7F28" w:rsidP="008D7F28">
            <w:pPr>
              <w:rPr>
                <w:sz w:val="18"/>
                <w:szCs w:val="18"/>
              </w:rPr>
            </w:pPr>
            <w:r w:rsidRPr="002460E2">
              <w:rPr>
                <w:noProof/>
                <w:sz w:val="18"/>
                <w:szCs w:val="18"/>
              </w:rPr>
              <w:drawing>
                <wp:inline distT="0" distB="0" distL="0" distR="0" wp14:anchorId="50355068" wp14:editId="2FD2EF7E">
                  <wp:extent cx="2250949" cy="244258"/>
                  <wp:effectExtent l="0" t="0" r="0" b="381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8620" cy="257027"/>
                          </a:xfrm>
                          <a:prstGeom prst="rect">
                            <a:avLst/>
                          </a:prstGeom>
                          <a:noFill/>
                          <a:ln>
                            <a:noFill/>
                          </a:ln>
                        </pic:spPr>
                      </pic:pic>
                    </a:graphicData>
                  </a:graphic>
                </wp:inline>
              </w:drawing>
            </w:r>
          </w:p>
          <w:p w14:paraId="1641E388" w14:textId="77777777" w:rsidR="008D7F28" w:rsidRPr="002460E2" w:rsidRDefault="008D7F28" w:rsidP="008D7F28">
            <w:pPr>
              <w:rPr>
                <w:sz w:val="18"/>
                <w:szCs w:val="18"/>
              </w:rPr>
            </w:pPr>
            <w:r w:rsidRPr="002460E2">
              <w:rPr>
                <w:noProof/>
                <w:sz w:val="18"/>
                <w:szCs w:val="18"/>
              </w:rPr>
              <w:drawing>
                <wp:inline distT="0" distB="0" distL="0" distR="0" wp14:anchorId="30F61E6C" wp14:editId="46F64C2E">
                  <wp:extent cx="2346236" cy="256784"/>
                  <wp:effectExtent l="0" t="0" r="0"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3952" cy="271856"/>
                          </a:xfrm>
                          <a:prstGeom prst="rect">
                            <a:avLst/>
                          </a:prstGeom>
                          <a:noFill/>
                          <a:ln>
                            <a:noFill/>
                          </a:ln>
                        </pic:spPr>
                      </pic:pic>
                    </a:graphicData>
                  </a:graphic>
                </wp:inline>
              </w:drawing>
            </w:r>
          </w:p>
          <w:p w14:paraId="78C290F9"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486"/>
              <w:gridCol w:w="3551"/>
            </w:tblGrid>
            <w:tr w:rsidR="008D7F28" w:rsidRPr="002460E2" w14:paraId="72D3948A" w14:textId="77777777" w:rsidTr="005E4B33">
              <w:tc>
                <w:tcPr>
                  <w:tcW w:w="1106" w:type="dxa"/>
                  <w:shd w:val="clear" w:color="auto" w:fill="auto"/>
                  <w:hideMark/>
                </w:tcPr>
                <w:p w14:paraId="5B40A5FA" w14:textId="77777777" w:rsidR="008D7F28" w:rsidRPr="002460E2" w:rsidRDefault="008D7F28" w:rsidP="008D7F28">
                  <w:pPr>
                    <w:rPr>
                      <w:sz w:val="18"/>
                      <w:szCs w:val="18"/>
                    </w:rPr>
                  </w:pPr>
                  <w:r w:rsidRPr="002460E2">
                    <w:rPr>
                      <w:noProof/>
                      <w:sz w:val="18"/>
                      <w:szCs w:val="18"/>
                    </w:rPr>
                    <w:drawing>
                      <wp:inline distT="0" distB="0" distL="0" distR="0" wp14:anchorId="4705AF3C" wp14:editId="20386DA4">
                        <wp:extent cx="283277" cy="156576"/>
                        <wp:effectExtent l="0" t="0" r="2540" b="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59" cy="161043"/>
                                </a:xfrm>
                                <a:prstGeom prst="rect">
                                  <a:avLst/>
                                </a:prstGeom>
                                <a:noFill/>
                                <a:ln>
                                  <a:noFill/>
                                </a:ln>
                              </pic:spPr>
                            </pic:pic>
                          </a:graphicData>
                        </a:graphic>
                      </wp:inline>
                    </w:drawing>
                  </w:r>
                </w:p>
              </w:tc>
              <w:tc>
                <w:tcPr>
                  <w:tcW w:w="8249" w:type="dxa"/>
                  <w:shd w:val="clear" w:color="auto" w:fill="auto"/>
                  <w:hideMark/>
                </w:tcPr>
                <w:p w14:paraId="5A2C5C08" w14:textId="77777777" w:rsidR="008D7F28" w:rsidRPr="002460E2" w:rsidRDefault="008D7F28" w:rsidP="008D7F28">
                  <w:pPr>
                    <w:rPr>
                      <w:sz w:val="18"/>
                      <w:szCs w:val="18"/>
                      <w:lang w:val="en-US"/>
                    </w:rPr>
                  </w:pPr>
                  <w:r w:rsidRPr="002460E2">
                    <w:rPr>
                      <w:sz w:val="18"/>
                      <w:szCs w:val="18"/>
                      <w:lang w:val="en-US"/>
                    </w:rPr>
                    <w:t>= sensibilitățile CVA agregate la un factor de risc de rată a inflației;</w:t>
                  </w:r>
                </w:p>
              </w:tc>
            </w:tr>
          </w:tbl>
          <w:p w14:paraId="39F67914" w14:textId="77777777" w:rsidR="008D7F28" w:rsidRPr="002460E2" w:rsidRDefault="008D7F28" w:rsidP="008D7F28">
            <w:pPr>
              <w:rPr>
                <w:vanish/>
                <w:sz w:val="18"/>
                <w:szCs w:val="18"/>
              </w:rPr>
            </w:pPr>
          </w:p>
          <w:tbl>
            <w:tblPr>
              <w:tblW w:w="5005" w:type="dxa"/>
              <w:tblLayout w:type="fixed"/>
              <w:tblCellMar>
                <w:left w:w="0" w:type="dxa"/>
                <w:right w:w="0" w:type="dxa"/>
              </w:tblCellMar>
              <w:tblLook w:val="04A0" w:firstRow="1" w:lastRow="0" w:firstColumn="1" w:lastColumn="0" w:noHBand="0" w:noVBand="1"/>
            </w:tblPr>
            <w:tblGrid>
              <w:gridCol w:w="346"/>
              <w:gridCol w:w="4659"/>
            </w:tblGrid>
            <w:tr w:rsidR="008D7F28" w:rsidRPr="002460E2" w14:paraId="5D4D436B" w14:textId="77777777" w:rsidTr="00690FCC">
              <w:trPr>
                <w:trHeight w:val="776"/>
              </w:trPr>
              <w:tc>
                <w:tcPr>
                  <w:tcW w:w="346" w:type="dxa"/>
                  <w:shd w:val="clear" w:color="auto" w:fill="auto"/>
                  <w:hideMark/>
                </w:tcPr>
                <w:p w14:paraId="3F8FD35A" w14:textId="77777777" w:rsidR="008D7F28" w:rsidRPr="002460E2" w:rsidRDefault="008D7F28" w:rsidP="008D7F28">
                  <w:pPr>
                    <w:rPr>
                      <w:sz w:val="18"/>
                      <w:szCs w:val="18"/>
                    </w:rPr>
                  </w:pPr>
                  <w:r w:rsidRPr="002460E2">
                    <w:rPr>
                      <w:i/>
                      <w:iCs/>
                      <w:sz w:val="18"/>
                      <w:szCs w:val="18"/>
                    </w:rPr>
                    <w:t>infl</w:t>
                  </w:r>
                  <w:r w:rsidRPr="002460E2">
                    <w:rPr>
                      <w:i/>
                      <w:iCs/>
                      <w:sz w:val="18"/>
                      <w:szCs w:val="18"/>
                      <w:vertAlign w:val="subscript"/>
                    </w:rPr>
                    <w:t>kt</w:t>
                  </w:r>
                </w:p>
              </w:tc>
              <w:tc>
                <w:tcPr>
                  <w:tcW w:w="4659" w:type="dxa"/>
                  <w:shd w:val="clear" w:color="auto" w:fill="auto"/>
                  <w:hideMark/>
                </w:tcPr>
                <w:p w14:paraId="6F76ECCB" w14:textId="77777777" w:rsidR="008D7F28" w:rsidRPr="002460E2" w:rsidRDefault="008D7F28" w:rsidP="008D7F28">
                  <w:pPr>
                    <w:rPr>
                      <w:sz w:val="18"/>
                      <w:szCs w:val="18"/>
                      <w:lang w:val="en-US"/>
                    </w:rPr>
                  </w:pPr>
                  <w:r w:rsidRPr="002460E2">
                    <w:rPr>
                      <w:sz w:val="18"/>
                      <w:szCs w:val="18"/>
                      <w:lang w:val="en-US"/>
                    </w:rPr>
                    <w:t xml:space="preserve">= valoarea factorului de risc de rată a inflației k </w:t>
                  </w:r>
                </w:p>
                <w:p w14:paraId="0BABEA6E" w14:textId="6E9BF0EF" w:rsidR="008D7F28" w:rsidRPr="002460E2" w:rsidRDefault="008D7F28" w:rsidP="008D7F28">
                  <w:pPr>
                    <w:rPr>
                      <w:sz w:val="18"/>
                      <w:szCs w:val="18"/>
                      <w:lang w:val="en-US"/>
                    </w:rPr>
                  </w:pPr>
                  <w:r w:rsidRPr="002460E2">
                    <w:rPr>
                      <w:sz w:val="18"/>
                      <w:szCs w:val="18"/>
                      <w:lang w:val="en-US"/>
                    </w:rPr>
                    <w:t>cu scadența t;</w:t>
                  </w:r>
                </w:p>
              </w:tc>
            </w:tr>
          </w:tbl>
          <w:p w14:paraId="78204851" w14:textId="77777777" w:rsidR="008D7F28" w:rsidRPr="002460E2" w:rsidRDefault="008D7F28" w:rsidP="008D7F28">
            <w:pPr>
              <w:rPr>
                <w:vanish/>
                <w:sz w:val="18"/>
                <w:szCs w:val="18"/>
              </w:rPr>
            </w:pPr>
          </w:p>
          <w:tbl>
            <w:tblPr>
              <w:tblW w:w="6129" w:type="dxa"/>
              <w:tblLayout w:type="fixed"/>
              <w:tblCellMar>
                <w:left w:w="0" w:type="dxa"/>
                <w:right w:w="0" w:type="dxa"/>
              </w:tblCellMar>
              <w:tblLook w:val="04A0" w:firstRow="1" w:lastRow="0" w:firstColumn="1" w:lastColumn="0" w:noHBand="0" w:noVBand="1"/>
            </w:tblPr>
            <w:tblGrid>
              <w:gridCol w:w="363"/>
              <w:gridCol w:w="5766"/>
            </w:tblGrid>
            <w:tr w:rsidR="008D7F28" w:rsidRPr="002460E2" w14:paraId="780A8390" w14:textId="77777777" w:rsidTr="00690FCC">
              <w:trPr>
                <w:trHeight w:val="856"/>
              </w:trPr>
              <w:tc>
                <w:tcPr>
                  <w:tcW w:w="363" w:type="dxa"/>
                  <w:shd w:val="clear" w:color="auto" w:fill="auto"/>
                  <w:hideMark/>
                </w:tcPr>
                <w:p w14:paraId="09835393"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5766" w:type="dxa"/>
                  <w:shd w:val="clear" w:color="auto" w:fill="auto"/>
                  <w:hideMark/>
                </w:tcPr>
                <w:p w14:paraId="4EFEB7D6" w14:textId="77777777" w:rsidR="008D7F28" w:rsidRPr="002460E2" w:rsidRDefault="008D7F28" w:rsidP="008D7F28">
                  <w:pPr>
                    <w:rPr>
                      <w:sz w:val="18"/>
                      <w:szCs w:val="18"/>
                      <w:lang w:val="en-US"/>
                    </w:rPr>
                  </w:pPr>
                  <w:r w:rsidRPr="002460E2">
                    <w:rPr>
                      <w:sz w:val="18"/>
                      <w:szCs w:val="18"/>
                      <w:lang w:val="en-US"/>
                    </w:rPr>
                    <w:t xml:space="preserve">= CVA agregată calculată pe baza modelului </w:t>
                  </w:r>
                </w:p>
                <w:p w14:paraId="0E29E388" w14:textId="40671E35" w:rsidR="008D7F28" w:rsidRPr="002460E2" w:rsidRDefault="008D7F28" w:rsidP="008D7F28">
                  <w:pPr>
                    <w:rPr>
                      <w:sz w:val="18"/>
                      <w:szCs w:val="18"/>
                      <w:lang w:val="en-US"/>
                    </w:rPr>
                  </w:pPr>
                  <w:r w:rsidRPr="002460E2">
                    <w:rPr>
                      <w:sz w:val="18"/>
                      <w:szCs w:val="18"/>
                      <w:lang w:val="en-US"/>
                    </w:rPr>
                    <w:t>de CVA reglementară;</w:t>
                  </w:r>
                </w:p>
              </w:tc>
            </w:tr>
          </w:tbl>
          <w:p w14:paraId="46661D2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85"/>
              <w:gridCol w:w="3752"/>
            </w:tblGrid>
            <w:tr w:rsidR="008D7F28" w:rsidRPr="002460E2" w14:paraId="0B017824" w14:textId="77777777" w:rsidTr="005E4B33">
              <w:tc>
                <w:tcPr>
                  <w:tcW w:w="637" w:type="dxa"/>
                  <w:shd w:val="clear" w:color="auto" w:fill="auto"/>
                  <w:hideMark/>
                </w:tcPr>
                <w:p w14:paraId="56785188" w14:textId="77777777" w:rsidR="008D7F28" w:rsidRPr="002460E2" w:rsidRDefault="008D7F28" w:rsidP="008D7F28">
                  <w:pPr>
                    <w:rPr>
                      <w:sz w:val="18"/>
                      <w:szCs w:val="18"/>
                    </w:rPr>
                  </w:pPr>
                  <w:r w:rsidRPr="002460E2">
                    <w:rPr>
                      <w:i/>
                      <w:iCs/>
                      <w:sz w:val="18"/>
                      <w:szCs w:val="18"/>
                    </w:rPr>
                    <w:t>x,y</w:t>
                  </w:r>
                </w:p>
              </w:tc>
              <w:tc>
                <w:tcPr>
                  <w:tcW w:w="8718" w:type="dxa"/>
                  <w:shd w:val="clear" w:color="auto" w:fill="auto"/>
                  <w:hideMark/>
                </w:tcPr>
                <w:p w14:paraId="60DCA060"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infl</w:t>
                  </w:r>
                  <w:r w:rsidRPr="002460E2">
                    <w:rPr>
                      <w:i/>
                      <w:iCs/>
                      <w:sz w:val="18"/>
                      <w:szCs w:val="18"/>
                      <w:vertAlign w:val="subscript"/>
                      <w:lang w:val="en-US"/>
                    </w:rPr>
                    <w:t>kt</w:t>
                  </w:r>
                  <w:r w:rsidRPr="002460E2">
                    <w:rPr>
                      <w:i/>
                      <w:iCs/>
                      <w:sz w:val="18"/>
                      <w:szCs w:val="18"/>
                      <w:lang w:val="en-US"/>
                    </w:rPr>
                    <w:t> </w:t>
                  </w:r>
                  <w:r w:rsidRPr="002460E2">
                    <w:rPr>
                      <w:sz w:val="18"/>
                      <w:szCs w:val="18"/>
                      <w:lang w:val="en-US"/>
                    </w:rPr>
                    <w:t>în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526ABAD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716"/>
              <w:gridCol w:w="3321"/>
            </w:tblGrid>
            <w:tr w:rsidR="008D7F28" w:rsidRPr="002460E2" w14:paraId="3D128A27" w14:textId="77777777" w:rsidTr="005E4B33">
              <w:tc>
                <w:tcPr>
                  <w:tcW w:w="1643" w:type="dxa"/>
                  <w:shd w:val="clear" w:color="auto" w:fill="auto"/>
                  <w:hideMark/>
                </w:tcPr>
                <w:p w14:paraId="638DD78A" w14:textId="77777777" w:rsidR="008D7F28" w:rsidRPr="002460E2" w:rsidRDefault="008D7F28" w:rsidP="008D7F28">
                  <w:pPr>
                    <w:rPr>
                      <w:sz w:val="18"/>
                      <w:szCs w:val="18"/>
                    </w:rPr>
                  </w:pPr>
                  <w:r w:rsidRPr="002460E2">
                    <w:rPr>
                      <w:noProof/>
                      <w:sz w:val="18"/>
                      <w:szCs w:val="18"/>
                    </w:rPr>
                    <w:drawing>
                      <wp:inline distT="0" distB="0" distL="0" distR="0" wp14:anchorId="380C30DA" wp14:editId="312D328D">
                        <wp:extent cx="432840" cy="181627"/>
                        <wp:effectExtent l="0" t="0" r="5715" b="889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198" cy="196464"/>
                                </a:xfrm>
                                <a:prstGeom prst="rect">
                                  <a:avLst/>
                                </a:prstGeom>
                                <a:noFill/>
                                <a:ln>
                                  <a:noFill/>
                                </a:ln>
                              </pic:spPr>
                            </pic:pic>
                          </a:graphicData>
                        </a:graphic>
                      </wp:inline>
                    </w:drawing>
                  </w:r>
                </w:p>
              </w:tc>
              <w:tc>
                <w:tcPr>
                  <w:tcW w:w="7712" w:type="dxa"/>
                  <w:shd w:val="clear" w:color="auto" w:fill="auto"/>
                  <w:hideMark/>
                </w:tcPr>
                <w:p w14:paraId="5392AD63"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rată a inflației;</w:t>
                  </w:r>
                </w:p>
              </w:tc>
            </w:tr>
          </w:tbl>
          <w:p w14:paraId="0B4AD62F"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39900585" w14:textId="77777777" w:rsidTr="005E4B33">
              <w:tc>
                <w:tcPr>
                  <w:tcW w:w="370" w:type="dxa"/>
                  <w:shd w:val="clear" w:color="auto" w:fill="auto"/>
                  <w:hideMark/>
                </w:tcPr>
                <w:p w14:paraId="51077EA6"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27927B46"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65309808" w14:textId="77777777" w:rsidR="008D7F28" w:rsidRPr="002460E2" w:rsidRDefault="008D7F28" w:rsidP="008D7F28">
            <w:pPr>
              <w:rPr>
                <w:vanish/>
                <w:sz w:val="18"/>
                <w:szCs w:val="18"/>
              </w:rPr>
            </w:pPr>
          </w:p>
          <w:tbl>
            <w:tblPr>
              <w:tblW w:w="4492" w:type="dxa"/>
              <w:tblLayout w:type="fixed"/>
              <w:tblCellMar>
                <w:left w:w="0" w:type="dxa"/>
                <w:right w:w="0" w:type="dxa"/>
              </w:tblCellMar>
              <w:tblLook w:val="04A0" w:firstRow="1" w:lastRow="0" w:firstColumn="1" w:lastColumn="0" w:noHBand="0" w:noVBand="1"/>
            </w:tblPr>
            <w:tblGrid>
              <w:gridCol w:w="252"/>
              <w:gridCol w:w="4240"/>
            </w:tblGrid>
            <w:tr w:rsidR="008D7F28" w:rsidRPr="002460E2" w14:paraId="3246C657" w14:textId="77777777" w:rsidTr="00EF79F4">
              <w:trPr>
                <w:trHeight w:val="453"/>
              </w:trPr>
              <w:tc>
                <w:tcPr>
                  <w:tcW w:w="252" w:type="dxa"/>
                  <w:shd w:val="clear" w:color="auto" w:fill="auto"/>
                  <w:hideMark/>
                </w:tcPr>
                <w:p w14:paraId="14454725" w14:textId="77777777" w:rsidR="008D7F28" w:rsidRPr="002460E2" w:rsidRDefault="008D7F28" w:rsidP="008D7F28">
                  <w:pPr>
                    <w:rPr>
                      <w:sz w:val="18"/>
                      <w:szCs w:val="18"/>
                    </w:rPr>
                  </w:pPr>
                  <w:r w:rsidRPr="002460E2">
                    <w:rPr>
                      <w:i/>
                      <w:iCs/>
                      <w:sz w:val="18"/>
                      <w:szCs w:val="18"/>
                    </w:rPr>
                    <w:lastRenderedPageBreak/>
                    <w:t>w,z</w:t>
                  </w:r>
                </w:p>
              </w:tc>
              <w:tc>
                <w:tcPr>
                  <w:tcW w:w="4240" w:type="dxa"/>
                  <w:shd w:val="clear" w:color="auto" w:fill="auto"/>
                  <w:hideMark/>
                </w:tcPr>
                <w:p w14:paraId="71676770"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infl</w:t>
                  </w:r>
                  <w:r w:rsidRPr="002460E2">
                    <w:rPr>
                      <w:i/>
                      <w:iCs/>
                      <w:sz w:val="18"/>
                      <w:szCs w:val="18"/>
                      <w:vertAlign w:val="subscript"/>
                      <w:lang w:val="en-US"/>
                    </w:rPr>
                    <w:t>kt</w:t>
                  </w:r>
                  <w:r w:rsidRPr="002460E2">
                    <w:rPr>
                      <w:i/>
                      <w:iCs/>
                      <w:sz w:val="18"/>
                      <w:szCs w:val="18"/>
                      <w:lang w:val="en-US"/>
                    </w:rPr>
                    <w:t> </w:t>
                  </w:r>
                  <w:r w:rsidRPr="002460E2">
                    <w:rPr>
                      <w:sz w:val="18"/>
                      <w:szCs w:val="18"/>
                      <w:lang w:val="en-US"/>
                    </w:rPr>
                    <w:t xml:space="preserve">din funcția de </w:t>
                  </w:r>
                </w:p>
                <w:p w14:paraId="40C720EC" w14:textId="26F838E9" w:rsidR="008D7F28" w:rsidRPr="002460E2" w:rsidRDefault="008D7F28" w:rsidP="008D7F28">
                  <w:pPr>
                    <w:rPr>
                      <w:sz w:val="18"/>
                      <w:szCs w:val="18"/>
                      <w:lang w:val="en-US"/>
                    </w:rPr>
                  </w:pPr>
                  <w:r w:rsidRPr="002460E2">
                    <w:rPr>
                      <w:sz w:val="18"/>
                      <w:szCs w:val="18"/>
                      <w:lang w:val="en-US"/>
                    </w:rPr>
                    <w:t>evaluare </w:t>
                  </w:r>
                  <w:r w:rsidRPr="002460E2">
                    <w:rPr>
                      <w:i/>
                      <w:iCs/>
                      <w:sz w:val="18"/>
                      <w:szCs w:val="18"/>
                      <w:lang w:val="en-US"/>
                    </w:rPr>
                    <w:t>V</w:t>
                  </w:r>
                  <w:r w:rsidRPr="002460E2">
                    <w:rPr>
                      <w:i/>
                      <w:iCs/>
                      <w:sz w:val="18"/>
                      <w:szCs w:val="18"/>
                      <w:vertAlign w:val="subscript"/>
                      <w:lang w:val="en-US"/>
                    </w:rPr>
                    <w:t>i.</w:t>
                  </w:r>
                </w:p>
              </w:tc>
            </w:tr>
          </w:tbl>
          <w:p w14:paraId="0E791A4D" w14:textId="0A7A94E3" w:rsidR="008D7F28" w:rsidRPr="002460E2" w:rsidRDefault="008D7F28" w:rsidP="008D7F28">
            <w:pPr>
              <w:pStyle w:val="title-article-norm"/>
              <w:rPr>
                <w:i w:val="0"/>
                <w:sz w:val="18"/>
                <w:szCs w:val="18"/>
              </w:rPr>
            </w:pPr>
          </w:p>
        </w:tc>
        <w:tc>
          <w:tcPr>
            <w:tcW w:w="3685" w:type="dxa"/>
            <w:shd w:val="clear" w:color="auto" w:fill="auto"/>
          </w:tcPr>
          <w:p w14:paraId="77047FF4" w14:textId="77777777" w:rsidR="00B7257B" w:rsidRPr="002460E2" w:rsidRDefault="00B7257B" w:rsidP="00B7257B">
            <w:pPr>
              <w:pStyle w:val="ListParagraph"/>
              <w:ind w:left="786"/>
              <w:jc w:val="center"/>
              <w:rPr>
                <w:i/>
                <w:iCs/>
                <w:sz w:val="18"/>
                <w:szCs w:val="18"/>
                <w:lang w:val="ro-MD"/>
              </w:rPr>
            </w:pPr>
            <w:bookmarkStart w:id="7" w:name="_Hlk197531703"/>
            <w:r w:rsidRPr="002460E2">
              <w:rPr>
                <w:i/>
                <w:iCs/>
                <w:sz w:val="18"/>
                <w:szCs w:val="18"/>
                <w:lang w:val="ro-MD"/>
              </w:rPr>
              <w:lastRenderedPageBreak/>
              <w:t>Secțiunea a 10-a</w:t>
            </w:r>
          </w:p>
          <w:p w14:paraId="02ADBCEA" w14:textId="77777777" w:rsidR="00B7257B" w:rsidRPr="002460E2" w:rsidRDefault="00B7257B" w:rsidP="00B7257B">
            <w:pPr>
              <w:pStyle w:val="ListParagraph"/>
              <w:tabs>
                <w:tab w:val="left" w:pos="993"/>
                <w:tab w:val="left" w:pos="1134"/>
              </w:tabs>
              <w:ind w:firstLine="426"/>
              <w:jc w:val="center"/>
              <w:rPr>
                <w:b/>
                <w:bCs/>
                <w:sz w:val="18"/>
                <w:szCs w:val="18"/>
                <w:lang w:val="ro-MD"/>
              </w:rPr>
            </w:pPr>
            <w:r w:rsidRPr="002460E2">
              <w:rPr>
                <w:b/>
                <w:bCs/>
                <w:sz w:val="18"/>
                <w:szCs w:val="18"/>
                <w:lang w:val="ro-MD"/>
              </w:rPr>
              <w:t>Sensibilitățile la riscul delta și vega</w:t>
            </w:r>
          </w:p>
          <w:bookmarkEnd w:id="7"/>
          <w:p w14:paraId="5E35077E" w14:textId="3A465D5A" w:rsidR="00B7257B" w:rsidRPr="002460E2" w:rsidRDefault="00FB32FD" w:rsidP="00B7257B">
            <w:pPr>
              <w:tabs>
                <w:tab w:val="left" w:pos="993"/>
                <w:tab w:val="left" w:pos="1134"/>
              </w:tabs>
              <w:jc w:val="both"/>
              <w:rPr>
                <w:sz w:val="18"/>
                <w:szCs w:val="18"/>
                <w:lang w:val="ro-MD"/>
              </w:rPr>
            </w:pPr>
            <w:r w:rsidRPr="002460E2">
              <w:rPr>
                <w:sz w:val="18"/>
                <w:szCs w:val="18"/>
                <w:lang w:val="ro-MD"/>
              </w:rPr>
              <w:t>63</w:t>
            </w:r>
            <w:r w:rsidR="00B7257B" w:rsidRPr="002460E2">
              <w:rPr>
                <w:sz w:val="18"/>
                <w:szCs w:val="18"/>
                <w:lang w:val="ro-MD"/>
              </w:rPr>
              <w:t>. Băncile calculează sensibilitățile delta care constau în factorii de risc de rată a dobânzii după cum urmează:</w:t>
            </w:r>
          </w:p>
          <w:p w14:paraId="336D463E" w14:textId="684462FC" w:rsidR="00B7257B" w:rsidRPr="002460E2" w:rsidRDefault="00FB32FD" w:rsidP="00B7257B">
            <w:pPr>
              <w:tabs>
                <w:tab w:val="left" w:pos="993"/>
                <w:tab w:val="left" w:pos="1134"/>
              </w:tabs>
              <w:jc w:val="both"/>
              <w:rPr>
                <w:sz w:val="18"/>
                <w:szCs w:val="18"/>
                <w:lang w:val="ro-MD"/>
              </w:rPr>
            </w:pPr>
            <w:r w:rsidRPr="002460E2">
              <w:rPr>
                <w:sz w:val="18"/>
                <w:szCs w:val="18"/>
                <w:lang w:val="ro-MD"/>
              </w:rPr>
              <w:t>63</w:t>
            </w:r>
            <w:r w:rsidR="00B7257B" w:rsidRPr="002460E2">
              <w:rPr>
                <w:sz w:val="18"/>
                <w:szCs w:val="18"/>
                <w:lang w:val="ro-MD"/>
              </w:rPr>
              <w:t>.1. sensibilitățile delta ale CVA agregate la factorii de risc care constau în rate fără risc, precum și ale unei acoperiri eligibile la acești factori de risc se calculează după cum urmează:</w:t>
            </w:r>
          </w:p>
          <w:p w14:paraId="022C7E5C" w14:textId="77777777" w:rsidR="00B7257B" w:rsidRPr="002460E2" w:rsidRDefault="00B7257B" w:rsidP="00B7257B">
            <w:pPr>
              <w:pStyle w:val="ListParagraph"/>
              <w:tabs>
                <w:tab w:val="left" w:pos="993"/>
                <w:tab w:val="left" w:pos="1134"/>
              </w:tabs>
              <w:ind w:firstLine="426"/>
              <w:jc w:val="both"/>
              <w:rPr>
                <w:sz w:val="18"/>
                <w:szCs w:val="18"/>
                <w:lang w:val="ro-MD"/>
              </w:rPr>
            </w:pPr>
            <w:r w:rsidRPr="002460E2">
              <w:rPr>
                <w:noProof/>
                <w:sz w:val="18"/>
                <w:szCs w:val="18"/>
                <w:lang w:val="ro-MD"/>
              </w:rPr>
              <w:drawing>
                <wp:inline distT="0" distB="0" distL="0" distR="0" wp14:anchorId="49DB9690" wp14:editId="62EBE419">
                  <wp:extent cx="1552548" cy="194553"/>
                  <wp:effectExtent l="0" t="0" r="0" b="0"/>
                  <wp:docPr id="105"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2537" cy="213348"/>
                          </a:xfrm>
                          <a:prstGeom prst="rect">
                            <a:avLst/>
                          </a:prstGeom>
                          <a:noFill/>
                          <a:ln>
                            <a:noFill/>
                          </a:ln>
                        </pic:spPr>
                      </pic:pic>
                    </a:graphicData>
                  </a:graphic>
                </wp:inline>
              </w:drawing>
            </w:r>
          </w:p>
          <w:p w14:paraId="7FF84DFC" w14:textId="77777777" w:rsidR="00B7257B" w:rsidRPr="002460E2" w:rsidRDefault="00B7257B" w:rsidP="00B7257B">
            <w:pPr>
              <w:pStyle w:val="ListParagraph"/>
              <w:tabs>
                <w:tab w:val="left" w:pos="993"/>
                <w:tab w:val="left" w:pos="1134"/>
              </w:tabs>
              <w:ind w:firstLine="426"/>
              <w:jc w:val="both"/>
              <w:rPr>
                <w:sz w:val="18"/>
                <w:szCs w:val="18"/>
                <w:lang w:val="ro-MD"/>
              </w:rPr>
            </w:pPr>
            <w:r w:rsidRPr="002460E2">
              <w:rPr>
                <w:noProof/>
                <w:sz w:val="18"/>
                <w:szCs w:val="18"/>
                <w:lang w:val="ro-MD"/>
              </w:rPr>
              <w:drawing>
                <wp:inline distT="0" distB="0" distL="0" distR="0" wp14:anchorId="16D8F3CF" wp14:editId="74D322D3">
                  <wp:extent cx="1598338" cy="194553"/>
                  <wp:effectExtent l="0" t="0" r="1905" b="0"/>
                  <wp:docPr id="106"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618" cy="200551"/>
                          </a:xfrm>
                          <a:prstGeom prst="rect">
                            <a:avLst/>
                          </a:prstGeom>
                          <a:noFill/>
                          <a:ln>
                            <a:noFill/>
                          </a:ln>
                        </pic:spPr>
                      </pic:pic>
                    </a:graphicData>
                  </a:graphic>
                </wp:inline>
              </w:drawing>
            </w:r>
          </w:p>
          <w:p w14:paraId="73D4B016" w14:textId="77777777" w:rsidR="00B7257B" w:rsidRPr="002460E2" w:rsidRDefault="00B7257B" w:rsidP="00B7257B">
            <w:pPr>
              <w:tabs>
                <w:tab w:val="left" w:pos="993"/>
                <w:tab w:val="left" w:pos="1134"/>
              </w:tabs>
              <w:jc w:val="both"/>
              <w:rPr>
                <w:sz w:val="18"/>
                <w:szCs w:val="18"/>
                <w:lang w:val="ro-MD"/>
              </w:rPr>
            </w:pPr>
            <w:r w:rsidRPr="002460E2">
              <w:rPr>
                <w:sz w:val="18"/>
                <w:szCs w:val="18"/>
                <w:lang w:val="ro-MD"/>
              </w:rPr>
              <w:t>unde:</w:t>
            </w:r>
          </w:p>
          <w:p w14:paraId="4174305B" w14:textId="0DFCCC0F" w:rsidR="00B7257B" w:rsidRPr="002460E2" w:rsidRDefault="00B7257B" w:rsidP="00B7257B">
            <w:pPr>
              <w:tabs>
                <w:tab w:val="left" w:pos="993"/>
                <w:tab w:val="left" w:pos="1134"/>
              </w:tabs>
              <w:jc w:val="both"/>
              <w:rPr>
                <w:sz w:val="18"/>
                <w:szCs w:val="18"/>
                <w:lang w:val="ro-MD"/>
              </w:rPr>
            </w:pPr>
            <w:r w:rsidRPr="002460E2">
              <w:rPr>
                <w:noProof/>
                <w:sz w:val="18"/>
                <w:szCs w:val="18"/>
              </w:rPr>
              <w:lastRenderedPageBreak/>
              <w:drawing>
                <wp:inline distT="0" distB="0" distL="0" distR="0" wp14:anchorId="3237C466" wp14:editId="6033044A">
                  <wp:extent cx="330835" cy="223520"/>
                  <wp:effectExtent l="0" t="0" r="0" b="5080"/>
                  <wp:docPr id="112" name="Pictur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835" cy="223520"/>
                          </a:xfrm>
                          <a:prstGeom prst="rect">
                            <a:avLst/>
                          </a:prstGeom>
                          <a:noFill/>
                          <a:ln>
                            <a:noFill/>
                          </a:ln>
                        </pic:spPr>
                      </pic:pic>
                    </a:graphicData>
                  </a:graphic>
                </wp:inline>
              </w:drawing>
            </w:r>
            <w:r w:rsidRPr="002460E2">
              <w:rPr>
                <w:sz w:val="18"/>
                <w:szCs w:val="18"/>
                <w:lang w:val="ro-MD"/>
              </w:rPr>
              <w:t xml:space="preserve"> = sensibilitățile CVA agregate la un factor de risc de rată fără risc;</w:t>
            </w:r>
          </w:p>
          <w:p w14:paraId="216FF059" w14:textId="77777777" w:rsidR="00B7257B" w:rsidRPr="002460E2" w:rsidRDefault="00B7257B" w:rsidP="00B7257B">
            <w:pPr>
              <w:tabs>
                <w:tab w:val="left" w:pos="993"/>
                <w:tab w:val="left" w:pos="1134"/>
              </w:tabs>
              <w:jc w:val="both"/>
              <w:rPr>
                <w:sz w:val="18"/>
                <w:szCs w:val="18"/>
                <w:lang w:val="ro-MD"/>
              </w:rPr>
            </w:pPr>
            <w:r w:rsidRPr="002460E2">
              <w:rPr>
                <w:i/>
                <w:iCs/>
                <w:color w:val="000000"/>
                <w:sz w:val="18"/>
                <w:szCs w:val="18"/>
                <w:shd w:val="clear" w:color="auto" w:fill="FFFFFF"/>
                <w:lang w:val="en-US"/>
              </w:rPr>
              <w:t>r</w:t>
            </w:r>
            <w:r w:rsidRPr="002460E2">
              <w:rPr>
                <w:rStyle w:val="subscript"/>
                <w:i/>
                <w:iCs/>
                <w:color w:val="000000"/>
                <w:sz w:val="18"/>
                <w:szCs w:val="18"/>
                <w:shd w:val="clear" w:color="auto" w:fill="FFFFFF"/>
                <w:vertAlign w:val="subscript"/>
                <w:lang w:val="en-US"/>
              </w:rPr>
              <w:t xml:space="preserve">kt </w:t>
            </w:r>
            <w:r w:rsidRPr="002460E2">
              <w:rPr>
                <w:sz w:val="18"/>
                <w:szCs w:val="18"/>
                <w:lang w:val="ro-MD"/>
              </w:rPr>
              <w:t>= valoarea factorului de risc de rată fără risc k cu scadența t;</w:t>
            </w:r>
          </w:p>
          <w:p w14:paraId="5E643F47" w14:textId="77777777" w:rsidR="00B7257B" w:rsidRPr="002460E2" w:rsidRDefault="00B7257B" w:rsidP="00B7257B">
            <w:pPr>
              <w:tabs>
                <w:tab w:val="left" w:pos="993"/>
                <w:tab w:val="left" w:pos="1134"/>
              </w:tabs>
              <w:jc w:val="both"/>
              <w:rPr>
                <w:sz w:val="18"/>
                <w:szCs w:val="18"/>
                <w:lang w:val="ro-MD"/>
              </w:rPr>
            </w:pPr>
            <w:r w:rsidRPr="002460E2">
              <w:rPr>
                <w:i/>
                <w:iCs/>
                <w:color w:val="000000"/>
                <w:sz w:val="18"/>
                <w:szCs w:val="18"/>
                <w:shd w:val="clear" w:color="auto" w:fill="FFFFFF"/>
                <w:lang w:val="en-US"/>
              </w:rPr>
              <w:t>V</w:t>
            </w:r>
            <w:r w:rsidRPr="002460E2">
              <w:rPr>
                <w:rStyle w:val="subscript"/>
                <w:i/>
                <w:iCs/>
                <w:color w:val="000000"/>
                <w:sz w:val="18"/>
                <w:szCs w:val="18"/>
                <w:shd w:val="clear" w:color="auto" w:fill="FFFFFF"/>
                <w:vertAlign w:val="subscript"/>
                <w:lang w:val="en-US"/>
              </w:rPr>
              <w:t xml:space="preserve">CVA </w:t>
            </w:r>
            <w:r w:rsidRPr="002460E2">
              <w:rPr>
                <w:rStyle w:val="subscript"/>
                <w:color w:val="000000"/>
                <w:sz w:val="18"/>
                <w:szCs w:val="18"/>
                <w:shd w:val="clear" w:color="auto" w:fill="FFFFFF"/>
                <w:lang w:val="en-US"/>
              </w:rPr>
              <w:t xml:space="preserve">= </w:t>
            </w:r>
            <w:r w:rsidRPr="002460E2">
              <w:rPr>
                <w:sz w:val="18"/>
                <w:szCs w:val="18"/>
                <w:lang w:val="ro-MD"/>
              </w:rPr>
              <w:t>CVA agregată calculată pe baza modelului de CVA reglementară;</w:t>
            </w:r>
          </w:p>
          <w:p w14:paraId="46DC626E" w14:textId="77777777" w:rsidR="00B7257B" w:rsidRPr="002460E2" w:rsidRDefault="00B7257B" w:rsidP="00B7257B">
            <w:pPr>
              <w:tabs>
                <w:tab w:val="left" w:pos="993"/>
                <w:tab w:val="left" w:pos="1134"/>
              </w:tabs>
              <w:jc w:val="both"/>
              <w:rPr>
                <w:sz w:val="18"/>
                <w:szCs w:val="18"/>
                <w:lang w:val="ro-MD"/>
              </w:rPr>
            </w:pPr>
            <w:r w:rsidRPr="002460E2">
              <w:rPr>
                <w:i/>
                <w:iCs/>
                <w:sz w:val="18"/>
                <w:szCs w:val="18"/>
                <w:lang w:val="ro-MD"/>
              </w:rPr>
              <w:t>x, y</w:t>
            </w:r>
            <w:r w:rsidRPr="002460E2">
              <w:rPr>
                <w:rStyle w:val="subscript"/>
                <w:color w:val="000000"/>
                <w:sz w:val="18"/>
                <w:szCs w:val="18"/>
                <w:shd w:val="clear" w:color="auto" w:fill="FFFFFF"/>
                <w:lang w:val="en-US"/>
              </w:rPr>
              <w:t xml:space="preserve"> = </w:t>
            </w:r>
            <w:r w:rsidRPr="002460E2">
              <w:rPr>
                <w:sz w:val="18"/>
                <w:szCs w:val="18"/>
                <w:lang w:val="ro-MD"/>
              </w:rPr>
              <w:t>alți factori de risc decât </w:t>
            </w:r>
            <w:r w:rsidRPr="002460E2">
              <w:rPr>
                <w:i/>
                <w:iCs/>
                <w:sz w:val="18"/>
                <w:szCs w:val="18"/>
                <w:lang w:val="ro-MD"/>
              </w:rPr>
              <w:t>r</w:t>
            </w:r>
            <w:r w:rsidRPr="002460E2">
              <w:rPr>
                <w:i/>
                <w:iCs/>
                <w:sz w:val="18"/>
                <w:szCs w:val="18"/>
                <w:vertAlign w:val="subscript"/>
                <w:lang w:val="ro-MD"/>
              </w:rPr>
              <w:t>kt</w:t>
            </w:r>
            <w:r w:rsidRPr="002460E2">
              <w:rPr>
                <w:i/>
                <w:iCs/>
                <w:sz w:val="18"/>
                <w:szCs w:val="18"/>
                <w:lang w:val="ro-MD"/>
              </w:rPr>
              <w:t> </w:t>
            </w:r>
            <w:r w:rsidRPr="002460E2">
              <w:rPr>
                <w:sz w:val="18"/>
                <w:szCs w:val="18"/>
                <w:lang w:val="ro-MD"/>
              </w:rPr>
              <w:t>în </w:t>
            </w:r>
            <w:r w:rsidRPr="002460E2">
              <w:rPr>
                <w:i/>
                <w:iCs/>
                <w:sz w:val="18"/>
                <w:szCs w:val="18"/>
                <w:lang w:val="ro-MD"/>
              </w:rPr>
              <w:t>V</w:t>
            </w:r>
            <w:r w:rsidRPr="002460E2">
              <w:rPr>
                <w:i/>
                <w:iCs/>
                <w:sz w:val="18"/>
                <w:szCs w:val="18"/>
                <w:vertAlign w:val="subscript"/>
                <w:lang w:val="ro-MD"/>
              </w:rPr>
              <w:t>CVA</w:t>
            </w:r>
            <w:r w:rsidRPr="002460E2">
              <w:rPr>
                <w:sz w:val="18"/>
                <w:szCs w:val="18"/>
                <w:lang w:val="ro-MD"/>
              </w:rPr>
              <w:t>;</w:t>
            </w:r>
          </w:p>
          <w:p w14:paraId="0FB8F56C" w14:textId="77777777" w:rsidR="00B7257B" w:rsidRPr="002460E2" w:rsidRDefault="00B7257B" w:rsidP="00B7257B">
            <w:pPr>
              <w:tabs>
                <w:tab w:val="left" w:pos="993"/>
                <w:tab w:val="left" w:pos="1134"/>
              </w:tabs>
              <w:jc w:val="both"/>
              <w:rPr>
                <w:sz w:val="18"/>
                <w:szCs w:val="18"/>
                <w:lang w:val="ro-MD"/>
              </w:rPr>
            </w:pPr>
            <w:r w:rsidRPr="002460E2">
              <w:rPr>
                <w:noProof/>
                <w:sz w:val="18"/>
                <w:szCs w:val="18"/>
              </w:rPr>
              <w:drawing>
                <wp:inline distT="0" distB="0" distL="0" distR="0" wp14:anchorId="637A7A76" wp14:editId="6CB8EFAF">
                  <wp:extent cx="683895" cy="286385"/>
                  <wp:effectExtent l="0" t="0" r="0" b="0"/>
                  <wp:docPr id="107" name="Picture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3895" cy="286385"/>
                          </a:xfrm>
                          <a:prstGeom prst="rect">
                            <a:avLst/>
                          </a:prstGeom>
                          <a:noFill/>
                          <a:ln>
                            <a:noFill/>
                          </a:ln>
                        </pic:spPr>
                      </pic:pic>
                    </a:graphicData>
                  </a:graphic>
                </wp:inline>
              </w:drawing>
            </w:r>
            <w:r w:rsidRPr="002460E2">
              <w:rPr>
                <w:sz w:val="18"/>
                <w:szCs w:val="18"/>
                <w:lang w:val="ro-MD"/>
              </w:rPr>
              <w:t xml:space="preserve"> = sensibilitățile acoperirii eligibile i la un factor de risc de rată fără risc;</w:t>
            </w:r>
          </w:p>
          <w:p w14:paraId="45ABF372" w14:textId="77777777" w:rsidR="00B7257B" w:rsidRPr="002460E2" w:rsidRDefault="00B7257B" w:rsidP="00B7257B">
            <w:pPr>
              <w:tabs>
                <w:tab w:val="left" w:pos="993"/>
                <w:tab w:val="left" w:pos="1134"/>
              </w:tabs>
              <w:jc w:val="both"/>
              <w:rPr>
                <w:sz w:val="18"/>
                <w:szCs w:val="18"/>
                <w:lang w:val="ro-MD"/>
              </w:rPr>
            </w:pPr>
            <w:r w:rsidRPr="002460E2">
              <w:rPr>
                <w:i/>
                <w:iCs/>
                <w:color w:val="000000"/>
                <w:sz w:val="18"/>
                <w:szCs w:val="18"/>
                <w:shd w:val="clear" w:color="auto" w:fill="FFFFFF"/>
                <w:lang w:val="en-US"/>
              </w:rPr>
              <w:t>V</w:t>
            </w:r>
            <w:r w:rsidRPr="002460E2">
              <w:rPr>
                <w:rStyle w:val="subscript"/>
                <w:i/>
                <w:iCs/>
                <w:color w:val="000000"/>
                <w:sz w:val="18"/>
                <w:szCs w:val="18"/>
                <w:shd w:val="clear" w:color="auto" w:fill="FFFFFF"/>
                <w:vertAlign w:val="subscript"/>
                <w:lang w:val="en-US"/>
              </w:rPr>
              <w:t xml:space="preserve">i   </w:t>
            </w:r>
            <w:r w:rsidRPr="002460E2">
              <w:rPr>
                <w:rStyle w:val="subscript"/>
                <w:color w:val="000000"/>
                <w:sz w:val="18"/>
                <w:szCs w:val="18"/>
                <w:shd w:val="clear" w:color="auto" w:fill="FFFFFF"/>
                <w:lang w:val="en-US"/>
              </w:rPr>
              <w:t xml:space="preserve">= </w:t>
            </w:r>
            <w:r w:rsidRPr="002460E2">
              <w:rPr>
                <w:sz w:val="18"/>
                <w:szCs w:val="18"/>
                <w:lang w:val="ro-MD"/>
              </w:rPr>
              <w:t>funcția de evaluare a acoperirii eligibile i;</w:t>
            </w:r>
          </w:p>
          <w:p w14:paraId="70A733A1" w14:textId="77777777" w:rsidR="00B7257B" w:rsidRPr="002460E2" w:rsidRDefault="00B7257B" w:rsidP="00B7257B">
            <w:pPr>
              <w:tabs>
                <w:tab w:val="left" w:pos="993"/>
                <w:tab w:val="left" w:pos="1134"/>
              </w:tabs>
              <w:jc w:val="both"/>
              <w:rPr>
                <w:sz w:val="18"/>
                <w:szCs w:val="18"/>
                <w:lang w:val="ro-MD"/>
              </w:rPr>
            </w:pPr>
            <w:r w:rsidRPr="002460E2">
              <w:rPr>
                <w:i/>
                <w:iCs/>
                <w:sz w:val="18"/>
                <w:szCs w:val="18"/>
                <w:lang w:val="ro-MD"/>
              </w:rPr>
              <w:t>w, z</w:t>
            </w:r>
            <w:r w:rsidRPr="002460E2">
              <w:rPr>
                <w:sz w:val="18"/>
                <w:szCs w:val="18"/>
                <w:lang w:val="ro-MD"/>
              </w:rPr>
              <w:t xml:space="preserve"> = alți factori de risc decât </w:t>
            </w:r>
            <w:r w:rsidRPr="002460E2">
              <w:rPr>
                <w:i/>
                <w:iCs/>
                <w:sz w:val="18"/>
                <w:szCs w:val="18"/>
                <w:lang w:val="ro-MD"/>
              </w:rPr>
              <w:t>r</w:t>
            </w:r>
            <w:r w:rsidRPr="002460E2">
              <w:rPr>
                <w:i/>
                <w:iCs/>
                <w:sz w:val="18"/>
                <w:szCs w:val="18"/>
                <w:vertAlign w:val="subscript"/>
                <w:lang w:val="ro-MD"/>
              </w:rPr>
              <w:t>kt</w:t>
            </w:r>
            <w:r w:rsidRPr="002460E2">
              <w:rPr>
                <w:i/>
                <w:iCs/>
                <w:sz w:val="18"/>
                <w:szCs w:val="18"/>
                <w:lang w:val="ro-MD"/>
              </w:rPr>
              <w:t> </w:t>
            </w:r>
            <w:r w:rsidRPr="002460E2">
              <w:rPr>
                <w:sz w:val="18"/>
                <w:szCs w:val="18"/>
                <w:lang w:val="ro-MD"/>
              </w:rPr>
              <w:t>din funcția de evaluare </w:t>
            </w:r>
            <w:r w:rsidRPr="002460E2">
              <w:rPr>
                <w:i/>
                <w:iCs/>
                <w:sz w:val="18"/>
                <w:szCs w:val="18"/>
                <w:lang w:val="ro-MD"/>
              </w:rPr>
              <w:t>V</w:t>
            </w:r>
            <w:r w:rsidRPr="002460E2">
              <w:rPr>
                <w:i/>
                <w:iCs/>
                <w:sz w:val="18"/>
                <w:szCs w:val="18"/>
                <w:vertAlign w:val="subscript"/>
                <w:lang w:val="ro-MD"/>
              </w:rPr>
              <w:t>i</w:t>
            </w:r>
            <w:r w:rsidRPr="002460E2">
              <w:rPr>
                <w:i/>
                <w:iCs/>
                <w:sz w:val="18"/>
                <w:szCs w:val="18"/>
                <w:lang w:val="ro-MD"/>
              </w:rPr>
              <w:t>.</w:t>
            </w:r>
          </w:p>
          <w:p w14:paraId="597491CF" w14:textId="29D8744E" w:rsidR="00B7257B" w:rsidRPr="002460E2" w:rsidRDefault="00FB32FD" w:rsidP="00FB32FD">
            <w:pPr>
              <w:tabs>
                <w:tab w:val="left" w:pos="426"/>
                <w:tab w:val="left" w:pos="993"/>
                <w:tab w:val="left" w:pos="1134"/>
              </w:tabs>
              <w:jc w:val="both"/>
              <w:rPr>
                <w:sz w:val="18"/>
                <w:szCs w:val="18"/>
                <w:lang w:val="ro-MD"/>
              </w:rPr>
            </w:pPr>
            <w:r w:rsidRPr="002460E2">
              <w:rPr>
                <w:sz w:val="18"/>
                <w:szCs w:val="18"/>
                <w:lang w:val="ro-MD"/>
              </w:rPr>
              <w:t>63</w:t>
            </w:r>
            <w:r w:rsidR="00B7257B" w:rsidRPr="002460E2">
              <w:rPr>
                <w:sz w:val="18"/>
                <w:szCs w:val="18"/>
                <w:lang w:val="ro-MD"/>
              </w:rPr>
              <w:t>.2. sensibilitățile delta la factorii de risc care constau în rate ale inflației, precum și ale unei acoperiri eligibile la acești factori de risc se calculează după cum urmează:</w:t>
            </w:r>
          </w:p>
          <w:p w14:paraId="680AA8CF" w14:textId="77777777" w:rsidR="00B7257B" w:rsidRPr="002460E2" w:rsidRDefault="00B7257B" w:rsidP="00B7257B">
            <w:pPr>
              <w:pStyle w:val="ListParagraph"/>
              <w:tabs>
                <w:tab w:val="left" w:pos="993"/>
                <w:tab w:val="left" w:pos="1134"/>
              </w:tabs>
              <w:ind w:firstLine="426"/>
              <w:jc w:val="both"/>
              <w:rPr>
                <w:sz w:val="18"/>
                <w:szCs w:val="18"/>
                <w:lang w:val="ro-MD"/>
              </w:rPr>
            </w:pPr>
            <w:r w:rsidRPr="002460E2">
              <w:rPr>
                <w:noProof/>
                <w:sz w:val="18"/>
                <w:szCs w:val="18"/>
                <w:lang w:val="ro-MD"/>
              </w:rPr>
              <w:drawing>
                <wp:inline distT="0" distB="0" distL="0" distR="0" wp14:anchorId="0DCFFF38" wp14:editId="7CBE750B">
                  <wp:extent cx="1507787" cy="163615"/>
                  <wp:effectExtent l="0" t="0" r="0" b="8255"/>
                  <wp:docPr id="108" name="Pictur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5307" cy="167686"/>
                          </a:xfrm>
                          <a:prstGeom prst="rect">
                            <a:avLst/>
                          </a:prstGeom>
                          <a:noFill/>
                          <a:ln>
                            <a:noFill/>
                          </a:ln>
                        </pic:spPr>
                      </pic:pic>
                    </a:graphicData>
                  </a:graphic>
                </wp:inline>
              </w:drawing>
            </w:r>
          </w:p>
          <w:p w14:paraId="7BFAFBA4" w14:textId="77777777" w:rsidR="00B7257B" w:rsidRPr="002460E2" w:rsidRDefault="00B7257B" w:rsidP="00B7257B">
            <w:pPr>
              <w:pStyle w:val="ListParagraph"/>
              <w:tabs>
                <w:tab w:val="left" w:pos="993"/>
                <w:tab w:val="left" w:pos="1134"/>
              </w:tabs>
              <w:ind w:firstLine="426"/>
              <w:jc w:val="both"/>
              <w:rPr>
                <w:sz w:val="18"/>
                <w:szCs w:val="18"/>
                <w:lang w:val="ro-MD"/>
              </w:rPr>
            </w:pPr>
            <w:r w:rsidRPr="002460E2">
              <w:rPr>
                <w:noProof/>
                <w:sz w:val="18"/>
                <w:szCs w:val="18"/>
                <w:lang w:val="ro-MD"/>
              </w:rPr>
              <w:drawing>
                <wp:inline distT="0" distB="0" distL="0" distR="0" wp14:anchorId="3B5361A7" wp14:editId="6A224B4A">
                  <wp:extent cx="1380371" cy="151075"/>
                  <wp:effectExtent l="0" t="0" r="0" b="1905"/>
                  <wp:docPr id="109" name="Pictur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4063" cy="171179"/>
                          </a:xfrm>
                          <a:prstGeom prst="rect">
                            <a:avLst/>
                          </a:prstGeom>
                          <a:noFill/>
                          <a:ln>
                            <a:noFill/>
                          </a:ln>
                        </pic:spPr>
                      </pic:pic>
                    </a:graphicData>
                  </a:graphic>
                </wp:inline>
              </w:drawing>
            </w:r>
          </w:p>
          <w:p w14:paraId="6694B8BD" w14:textId="77777777" w:rsidR="00B7257B" w:rsidRPr="002460E2" w:rsidRDefault="00B7257B" w:rsidP="00B7257B">
            <w:pPr>
              <w:tabs>
                <w:tab w:val="left" w:pos="993"/>
                <w:tab w:val="left" w:pos="1134"/>
              </w:tabs>
              <w:jc w:val="both"/>
              <w:rPr>
                <w:sz w:val="18"/>
                <w:szCs w:val="18"/>
                <w:lang w:val="ro-MD"/>
              </w:rPr>
            </w:pPr>
            <w:r w:rsidRPr="002460E2">
              <w:rPr>
                <w:sz w:val="18"/>
                <w:szCs w:val="18"/>
                <w:lang w:val="ro-MD"/>
              </w:rPr>
              <w:t>unde:</w:t>
            </w:r>
          </w:p>
          <w:p w14:paraId="728015BB" w14:textId="77777777" w:rsidR="00B7257B" w:rsidRPr="002460E2" w:rsidRDefault="00B7257B" w:rsidP="00B7257B">
            <w:pPr>
              <w:tabs>
                <w:tab w:val="left" w:pos="993"/>
                <w:tab w:val="left" w:pos="1134"/>
              </w:tabs>
              <w:jc w:val="both"/>
              <w:rPr>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20"/>
              <w:gridCol w:w="3449"/>
            </w:tblGrid>
            <w:tr w:rsidR="00B7257B" w:rsidRPr="002460E2" w14:paraId="7F4733F8" w14:textId="77777777" w:rsidTr="002620A5">
              <w:tc>
                <w:tcPr>
                  <w:tcW w:w="7" w:type="dxa"/>
                  <w:shd w:val="clear" w:color="auto" w:fill="auto"/>
                  <w:hideMark/>
                </w:tcPr>
                <w:p w14:paraId="36CE966E" w14:textId="77777777" w:rsidR="00B7257B" w:rsidRPr="002460E2" w:rsidRDefault="00B7257B" w:rsidP="00B7257B">
                  <w:pPr>
                    <w:pStyle w:val="ListParagraph"/>
                    <w:tabs>
                      <w:tab w:val="left" w:pos="993"/>
                      <w:tab w:val="left" w:pos="1134"/>
                    </w:tabs>
                    <w:ind w:firstLine="426"/>
                    <w:jc w:val="both"/>
                    <w:rPr>
                      <w:sz w:val="18"/>
                      <w:szCs w:val="18"/>
                      <w:lang w:val="ro-MD"/>
                    </w:rPr>
                  </w:pPr>
                </w:p>
              </w:tc>
              <w:tc>
                <w:tcPr>
                  <w:tcW w:w="9681" w:type="dxa"/>
                  <w:shd w:val="clear" w:color="auto" w:fill="auto"/>
                  <w:hideMark/>
                </w:tcPr>
                <w:p w14:paraId="2E6DB83A" w14:textId="5C0DC85D" w:rsidR="00B7257B" w:rsidRPr="002460E2" w:rsidRDefault="00B7257B" w:rsidP="00B7257B">
                  <w:pPr>
                    <w:pStyle w:val="ListParagraph"/>
                    <w:tabs>
                      <w:tab w:val="left" w:pos="993"/>
                      <w:tab w:val="left" w:pos="1134"/>
                    </w:tabs>
                    <w:ind w:left="0"/>
                    <w:jc w:val="both"/>
                    <w:rPr>
                      <w:sz w:val="18"/>
                      <w:szCs w:val="18"/>
                      <w:lang w:val="ro-MD"/>
                    </w:rPr>
                  </w:pPr>
                  <w:r w:rsidRPr="002460E2">
                    <w:rPr>
                      <w:noProof/>
                      <w:sz w:val="18"/>
                      <w:szCs w:val="18"/>
                    </w:rPr>
                    <w:drawing>
                      <wp:inline distT="0" distB="0" distL="0" distR="0" wp14:anchorId="2076576C" wp14:editId="62867A46">
                        <wp:extent cx="349885" cy="233680"/>
                        <wp:effectExtent l="0" t="0" r="0" b="0"/>
                        <wp:docPr id="111"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885" cy="233680"/>
                                </a:xfrm>
                                <a:prstGeom prst="rect">
                                  <a:avLst/>
                                </a:prstGeom>
                                <a:noFill/>
                                <a:ln>
                                  <a:noFill/>
                                </a:ln>
                              </pic:spPr>
                            </pic:pic>
                          </a:graphicData>
                        </a:graphic>
                      </wp:inline>
                    </w:drawing>
                  </w:r>
                  <w:r w:rsidRPr="002460E2">
                    <w:rPr>
                      <w:sz w:val="18"/>
                      <w:szCs w:val="18"/>
                      <w:lang w:val="ro-MD"/>
                    </w:rPr>
                    <w:t xml:space="preserve"> = sensibilitățile CVA agregate la un factor de risc de rată a inflației;</w:t>
                  </w:r>
                </w:p>
                <w:p w14:paraId="424160BD" w14:textId="77777777" w:rsidR="00B7257B" w:rsidRPr="002460E2" w:rsidRDefault="00B7257B" w:rsidP="00B7257B">
                  <w:pPr>
                    <w:pStyle w:val="ListParagraph"/>
                    <w:tabs>
                      <w:tab w:val="left" w:pos="993"/>
                      <w:tab w:val="left" w:pos="1134"/>
                    </w:tabs>
                    <w:ind w:left="0"/>
                    <w:jc w:val="both"/>
                    <w:rPr>
                      <w:sz w:val="18"/>
                      <w:szCs w:val="18"/>
                      <w:lang w:val="ro-MD"/>
                    </w:rPr>
                  </w:pPr>
                  <w:r w:rsidRPr="002460E2">
                    <w:rPr>
                      <w:i/>
                      <w:iCs/>
                      <w:color w:val="000000"/>
                      <w:sz w:val="18"/>
                      <w:szCs w:val="18"/>
                      <w:shd w:val="clear" w:color="auto" w:fill="FFFFFF"/>
                      <w:lang w:val="en-US"/>
                    </w:rPr>
                    <w:t>infl</w:t>
                  </w:r>
                  <w:r w:rsidRPr="002460E2">
                    <w:rPr>
                      <w:rStyle w:val="subscript"/>
                      <w:i/>
                      <w:iCs/>
                      <w:color w:val="000000"/>
                      <w:sz w:val="18"/>
                      <w:szCs w:val="18"/>
                      <w:shd w:val="clear" w:color="auto" w:fill="FFFFFF"/>
                      <w:vertAlign w:val="subscript"/>
                      <w:lang w:val="en-US"/>
                    </w:rPr>
                    <w:t xml:space="preserve">kt </w:t>
                  </w:r>
                  <w:r w:rsidRPr="002460E2">
                    <w:rPr>
                      <w:sz w:val="18"/>
                      <w:szCs w:val="18"/>
                      <w:lang w:val="ro-MD"/>
                    </w:rPr>
                    <w:t>= valoarea factorului de risc de rată a inflației k cu scadența t;</w:t>
                  </w:r>
                </w:p>
                <w:p w14:paraId="6128FA11" w14:textId="77777777" w:rsidR="00B7257B" w:rsidRPr="002460E2" w:rsidRDefault="00B7257B" w:rsidP="00B7257B">
                  <w:pPr>
                    <w:pStyle w:val="ListParagraph"/>
                    <w:tabs>
                      <w:tab w:val="left" w:pos="993"/>
                      <w:tab w:val="left" w:pos="1134"/>
                    </w:tabs>
                    <w:ind w:left="0"/>
                    <w:jc w:val="both"/>
                    <w:rPr>
                      <w:sz w:val="18"/>
                      <w:szCs w:val="18"/>
                      <w:lang w:val="ro-MD"/>
                    </w:rPr>
                  </w:pPr>
                  <w:r w:rsidRPr="002460E2">
                    <w:rPr>
                      <w:i/>
                      <w:iCs/>
                      <w:sz w:val="18"/>
                      <w:szCs w:val="18"/>
                      <w:lang w:val="en-US"/>
                    </w:rPr>
                    <w:t>V</w:t>
                  </w:r>
                  <w:r w:rsidRPr="002460E2">
                    <w:rPr>
                      <w:i/>
                      <w:iCs/>
                      <w:sz w:val="18"/>
                      <w:szCs w:val="18"/>
                      <w:vertAlign w:val="subscript"/>
                      <w:lang w:val="en-US"/>
                    </w:rPr>
                    <w:t xml:space="preserve">CVA </w:t>
                  </w:r>
                  <w:r w:rsidRPr="002460E2">
                    <w:rPr>
                      <w:sz w:val="18"/>
                      <w:szCs w:val="18"/>
                      <w:lang w:val="en-US"/>
                    </w:rPr>
                    <w:t xml:space="preserve">= </w:t>
                  </w:r>
                  <w:r w:rsidRPr="002460E2">
                    <w:rPr>
                      <w:sz w:val="18"/>
                      <w:szCs w:val="18"/>
                      <w:lang w:val="ro-MD"/>
                    </w:rPr>
                    <w:t>CVA agregată calculată pe baza modelului de CVA reglementară;</w:t>
                  </w:r>
                </w:p>
                <w:p w14:paraId="7C0E3BFC" w14:textId="77777777" w:rsidR="00B7257B" w:rsidRPr="002460E2" w:rsidRDefault="00B7257B" w:rsidP="00B7257B">
                  <w:pPr>
                    <w:pStyle w:val="ListParagraph"/>
                    <w:tabs>
                      <w:tab w:val="left" w:pos="993"/>
                      <w:tab w:val="left" w:pos="1134"/>
                    </w:tabs>
                    <w:ind w:left="0"/>
                    <w:jc w:val="both"/>
                    <w:rPr>
                      <w:sz w:val="18"/>
                      <w:szCs w:val="18"/>
                      <w:lang w:val="ro-MD"/>
                    </w:rPr>
                  </w:pPr>
                  <w:r w:rsidRPr="002460E2">
                    <w:rPr>
                      <w:i/>
                      <w:iCs/>
                      <w:sz w:val="18"/>
                      <w:szCs w:val="18"/>
                      <w:lang w:val="ro-MD"/>
                    </w:rPr>
                    <w:t>x, y</w:t>
                  </w:r>
                  <w:r w:rsidRPr="002460E2">
                    <w:rPr>
                      <w:sz w:val="18"/>
                      <w:szCs w:val="18"/>
                      <w:lang w:val="ro-MD"/>
                    </w:rPr>
                    <w:t xml:space="preserve"> = alți factori de risc decât </w:t>
                  </w:r>
                  <w:r w:rsidRPr="002460E2">
                    <w:rPr>
                      <w:i/>
                      <w:iCs/>
                      <w:sz w:val="18"/>
                      <w:szCs w:val="18"/>
                      <w:lang w:val="ro-MD"/>
                    </w:rPr>
                    <w:t>infl</w:t>
                  </w:r>
                  <w:r w:rsidRPr="002460E2">
                    <w:rPr>
                      <w:i/>
                      <w:iCs/>
                      <w:sz w:val="18"/>
                      <w:szCs w:val="18"/>
                      <w:vertAlign w:val="subscript"/>
                      <w:lang w:val="ro-MD"/>
                    </w:rPr>
                    <w:t>kt</w:t>
                  </w:r>
                  <w:r w:rsidRPr="002460E2">
                    <w:rPr>
                      <w:i/>
                      <w:iCs/>
                      <w:sz w:val="18"/>
                      <w:szCs w:val="18"/>
                      <w:lang w:val="ro-MD"/>
                    </w:rPr>
                    <w:t> </w:t>
                  </w:r>
                  <w:r w:rsidRPr="002460E2">
                    <w:rPr>
                      <w:sz w:val="18"/>
                      <w:szCs w:val="18"/>
                      <w:lang w:val="ro-MD"/>
                    </w:rPr>
                    <w:t>în </w:t>
                  </w:r>
                  <w:r w:rsidRPr="002460E2">
                    <w:rPr>
                      <w:i/>
                      <w:iCs/>
                      <w:sz w:val="18"/>
                      <w:szCs w:val="18"/>
                      <w:lang w:val="ro-MD"/>
                    </w:rPr>
                    <w:t>V</w:t>
                  </w:r>
                  <w:r w:rsidRPr="002460E2">
                    <w:rPr>
                      <w:i/>
                      <w:iCs/>
                      <w:sz w:val="18"/>
                      <w:szCs w:val="18"/>
                      <w:vertAlign w:val="subscript"/>
                      <w:lang w:val="ro-MD"/>
                    </w:rPr>
                    <w:t>CVA</w:t>
                  </w:r>
                  <w:r w:rsidRPr="002460E2">
                    <w:rPr>
                      <w:sz w:val="18"/>
                      <w:szCs w:val="18"/>
                      <w:lang w:val="ro-MD"/>
                    </w:rPr>
                    <w:t>;</w:t>
                  </w:r>
                </w:p>
                <w:p w14:paraId="49201C45" w14:textId="77777777" w:rsidR="00B7257B" w:rsidRPr="002460E2" w:rsidRDefault="00B7257B" w:rsidP="00B7257B">
                  <w:pPr>
                    <w:pStyle w:val="ListParagraph"/>
                    <w:tabs>
                      <w:tab w:val="left" w:pos="993"/>
                      <w:tab w:val="left" w:pos="1134"/>
                    </w:tabs>
                    <w:ind w:left="0"/>
                    <w:jc w:val="both"/>
                    <w:rPr>
                      <w:sz w:val="18"/>
                      <w:szCs w:val="18"/>
                      <w:lang w:val="ro-MD"/>
                    </w:rPr>
                  </w:pPr>
                  <w:r w:rsidRPr="002460E2">
                    <w:rPr>
                      <w:noProof/>
                      <w:sz w:val="18"/>
                      <w:szCs w:val="18"/>
                    </w:rPr>
                    <w:drawing>
                      <wp:inline distT="0" distB="0" distL="0" distR="0" wp14:anchorId="1798E886" wp14:editId="601D21B0">
                        <wp:extent cx="683895" cy="286385"/>
                        <wp:effectExtent l="0" t="0" r="0" b="0"/>
                        <wp:docPr id="110" name="Pictur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286385"/>
                                </a:xfrm>
                                <a:prstGeom prst="rect">
                                  <a:avLst/>
                                </a:prstGeom>
                                <a:noFill/>
                                <a:ln>
                                  <a:noFill/>
                                </a:ln>
                              </pic:spPr>
                            </pic:pic>
                          </a:graphicData>
                        </a:graphic>
                      </wp:inline>
                    </w:drawing>
                  </w:r>
                  <w:r w:rsidRPr="002460E2">
                    <w:rPr>
                      <w:sz w:val="18"/>
                      <w:szCs w:val="18"/>
                      <w:lang w:val="ro-MD"/>
                    </w:rPr>
                    <w:t>= sensibilitățile acoperirii eligibile i la un factor de risc de rată a inflației;</w:t>
                  </w:r>
                </w:p>
                <w:p w14:paraId="6FE9684B" w14:textId="77777777" w:rsidR="00B7257B" w:rsidRPr="002460E2" w:rsidRDefault="00B7257B" w:rsidP="00B7257B">
                  <w:pPr>
                    <w:pStyle w:val="ListParagraph"/>
                    <w:tabs>
                      <w:tab w:val="left" w:pos="993"/>
                      <w:tab w:val="left" w:pos="1134"/>
                    </w:tabs>
                    <w:ind w:left="0"/>
                    <w:jc w:val="both"/>
                    <w:rPr>
                      <w:sz w:val="18"/>
                      <w:szCs w:val="18"/>
                      <w:lang w:val="ro-MD"/>
                    </w:rPr>
                  </w:pPr>
                  <w:r w:rsidRPr="002460E2">
                    <w:rPr>
                      <w:i/>
                      <w:iCs/>
                      <w:color w:val="000000"/>
                      <w:sz w:val="18"/>
                      <w:szCs w:val="18"/>
                      <w:shd w:val="clear" w:color="auto" w:fill="FFFFFF"/>
                      <w:lang w:val="en-US"/>
                    </w:rPr>
                    <w:t>V</w:t>
                  </w:r>
                  <w:r w:rsidRPr="002460E2">
                    <w:rPr>
                      <w:rStyle w:val="subscript"/>
                      <w:i/>
                      <w:iCs/>
                      <w:color w:val="000000"/>
                      <w:sz w:val="18"/>
                      <w:szCs w:val="18"/>
                      <w:shd w:val="clear" w:color="auto" w:fill="FFFFFF"/>
                      <w:vertAlign w:val="subscript"/>
                      <w:lang w:val="en-US"/>
                    </w:rPr>
                    <w:t xml:space="preserve">i  </w:t>
                  </w:r>
                  <w:r w:rsidRPr="002460E2">
                    <w:rPr>
                      <w:sz w:val="18"/>
                      <w:szCs w:val="18"/>
                      <w:lang w:val="ro-MD"/>
                    </w:rPr>
                    <w:t>= funcția de evaluare a acoperirii eligibile i;</w:t>
                  </w:r>
                </w:p>
                <w:p w14:paraId="6852EE4B" w14:textId="77777777" w:rsidR="00B7257B" w:rsidRPr="002460E2" w:rsidRDefault="00B7257B" w:rsidP="00B7257B">
                  <w:pPr>
                    <w:pStyle w:val="ListParagraph"/>
                    <w:tabs>
                      <w:tab w:val="left" w:pos="993"/>
                      <w:tab w:val="left" w:pos="1134"/>
                    </w:tabs>
                    <w:ind w:left="0"/>
                    <w:jc w:val="both"/>
                    <w:rPr>
                      <w:i/>
                      <w:iCs/>
                      <w:sz w:val="18"/>
                      <w:szCs w:val="18"/>
                      <w:lang w:val="ro-MD"/>
                    </w:rPr>
                  </w:pPr>
                  <w:r w:rsidRPr="002460E2">
                    <w:rPr>
                      <w:i/>
                      <w:iCs/>
                      <w:sz w:val="18"/>
                      <w:szCs w:val="18"/>
                      <w:lang w:val="ro-MD"/>
                    </w:rPr>
                    <w:lastRenderedPageBreak/>
                    <w:t>w, z</w:t>
                  </w:r>
                  <w:r w:rsidRPr="002460E2">
                    <w:rPr>
                      <w:sz w:val="18"/>
                      <w:szCs w:val="18"/>
                      <w:lang w:val="ro-MD"/>
                    </w:rPr>
                    <w:t xml:space="preserve"> = alți factori de risc decât </w:t>
                  </w:r>
                  <w:r w:rsidRPr="002460E2">
                    <w:rPr>
                      <w:i/>
                      <w:iCs/>
                      <w:sz w:val="18"/>
                      <w:szCs w:val="18"/>
                      <w:lang w:val="ro-MD"/>
                    </w:rPr>
                    <w:t>infl</w:t>
                  </w:r>
                  <w:r w:rsidRPr="002460E2">
                    <w:rPr>
                      <w:i/>
                      <w:iCs/>
                      <w:sz w:val="18"/>
                      <w:szCs w:val="18"/>
                      <w:vertAlign w:val="subscript"/>
                      <w:lang w:val="ro-MD"/>
                    </w:rPr>
                    <w:t>kt</w:t>
                  </w:r>
                  <w:r w:rsidRPr="002460E2">
                    <w:rPr>
                      <w:i/>
                      <w:iCs/>
                      <w:sz w:val="18"/>
                      <w:szCs w:val="18"/>
                      <w:lang w:val="ro-MD"/>
                    </w:rPr>
                    <w:t> </w:t>
                  </w:r>
                  <w:r w:rsidRPr="002460E2">
                    <w:rPr>
                      <w:sz w:val="18"/>
                      <w:szCs w:val="18"/>
                      <w:lang w:val="ro-MD"/>
                    </w:rPr>
                    <w:t>din funcția de evaluare </w:t>
                  </w:r>
                  <w:r w:rsidRPr="002460E2">
                    <w:rPr>
                      <w:i/>
                      <w:iCs/>
                      <w:sz w:val="18"/>
                      <w:szCs w:val="18"/>
                      <w:lang w:val="ro-MD"/>
                    </w:rPr>
                    <w:t>V</w:t>
                  </w:r>
                  <w:r w:rsidRPr="002460E2">
                    <w:rPr>
                      <w:i/>
                      <w:iCs/>
                      <w:sz w:val="18"/>
                      <w:szCs w:val="18"/>
                      <w:vertAlign w:val="subscript"/>
                      <w:lang w:val="ro-MD"/>
                    </w:rPr>
                    <w:t>i</w:t>
                  </w:r>
                  <w:r w:rsidRPr="002460E2">
                    <w:rPr>
                      <w:sz w:val="18"/>
                      <w:szCs w:val="18"/>
                      <w:lang w:val="ro-MD"/>
                    </w:rPr>
                    <w:t>.</w:t>
                  </w:r>
                </w:p>
                <w:p w14:paraId="508CA68F" w14:textId="77777777" w:rsidR="00B7257B" w:rsidRPr="002460E2" w:rsidRDefault="00B7257B" w:rsidP="00B7257B">
                  <w:pPr>
                    <w:pStyle w:val="ListParagraph"/>
                    <w:tabs>
                      <w:tab w:val="left" w:pos="993"/>
                      <w:tab w:val="left" w:pos="1134"/>
                    </w:tabs>
                    <w:ind w:left="0"/>
                    <w:jc w:val="both"/>
                    <w:rPr>
                      <w:sz w:val="18"/>
                      <w:szCs w:val="18"/>
                      <w:lang w:val="ro-MD"/>
                    </w:rPr>
                  </w:pPr>
                </w:p>
                <w:p w14:paraId="3EDEAAB2" w14:textId="77777777" w:rsidR="00B7257B" w:rsidRPr="002460E2" w:rsidRDefault="00B7257B" w:rsidP="00B7257B">
                  <w:pPr>
                    <w:pStyle w:val="ListParagraph"/>
                    <w:tabs>
                      <w:tab w:val="left" w:pos="993"/>
                      <w:tab w:val="left" w:pos="1134"/>
                    </w:tabs>
                    <w:ind w:left="0"/>
                    <w:jc w:val="both"/>
                    <w:rPr>
                      <w:sz w:val="18"/>
                      <w:szCs w:val="18"/>
                      <w:lang w:val="ro-MD"/>
                    </w:rPr>
                  </w:pPr>
                </w:p>
              </w:tc>
            </w:tr>
          </w:tbl>
          <w:p w14:paraId="69A1B1F8" w14:textId="77777777" w:rsidR="00B7257B" w:rsidRPr="002460E2" w:rsidRDefault="00B7257B" w:rsidP="00B7257B">
            <w:pPr>
              <w:tabs>
                <w:tab w:val="left" w:pos="993"/>
                <w:tab w:val="left" w:pos="1134"/>
              </w:tabs>
              <w:jc w:val="both"/>
              <w:rPr>
                <w:b/>
                <w:bCs/>
                <w:vanish/>
                <w:sz w:val="18"/>
                <w:szCs w:val="18"/>
                <w:lang w:val="ro-MD"/>
              </w:rPr>
            </w:pPr>
          </w:p>
          <w:p w14:paraId="7B35611D" w14:textId="77777777" w:rsidR="00B7257B" w:rsidRPr="002460E2" w:rsidRDefault="00B7257B" w:rsidP="00B7257B">
            <w:pPr>
              <w:tabs>
                <w:tab w:val="left" w:pos="993"/>
                <w:tab w:val="left" w:pos="1134"/>
              </w:tabs>
              <w:jc w:val="both"/>
              <w:rPr>
                <w:b/>
                <w:bCs/>
                <w:sz w:val="18"/>
                <w:szCs w:val="18"/>
                <w:lang w:val="ro-MD"/>
              </w:rPr>
            </w:pPr>
          </w:p>
          <w:p w14:paraId="56F2B6FA" w14:textId="77777777" w:rsidR="008D7F28" w:rsidRPr="002460E2" w:rsidRDefault="008D7F28" w:rsidP="008D7F28">
            <w:pPr>
              <w:jc w:val="center"/>
              <w:rPr>
                <w:b/>
                <w:bCs/>
                <w:sz w:val="18"/>
                <w:szCs w:val="18"/>
                <w:lang w:val="ro-MD" w:eastAsia="en-US"/>
              </w:rPr>
            </w:pPr>
          </w:p>
        </w:tc>
        <w:tc>
          <w:tcPr>
            <w:tcW w:w="1229" w:type="dxa"/>
          </w:tcPr>
          <w:p w14:paraId="38628374" w14:textId="5FD04343"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2D3C6D29" w14:textId="77777777" w:rsidR="008D7F28" w:rsidRPr="002460E2" w:rsidRDefault="008D7F28" w:rsidP="008D7F28">
            <w:pPr>
              <w:jc w:val="both"/>
              <w:rPr>
                <w:sz w:val="18"/>
                <w:szCs w:val="18"/>
                <w:lang w:val="ro-MD"/>
              </w:rPr>
            </w:pPr>
          </w:p>
        </w:tc>
      </w:tr>
      <w:tr w:rsidR="008D7F28" w:rsidRPr="002460E2" w14:paraId="0C4D06A0" w14:textId="77777777" w:rsidTr="003F5B3C">
        <w:trPr>
          <w:trHeight w:val="918"/>
        </w:trPr>
        <w:tc>
          <w:tcPr>
            <w:tcW w:w="4253" w:type="dxa"/>
          </w:tcPr>
          <w:p w14:paraId="7FE1B04D" w14:textId="35938D44" w:rsidR="008D7F28" w:rsidRPr="002460E2" w:rsidRDefault="008D7F28" w:rsidP="008D7F28">
            <w:pPr>
              <w:rPr>
                <w:sz w:val="18"/>
                <w:szCs w:val="18"/>
                <w:lang w:val="en-US"/>
              </w:rPr>
            </w:pPr>
            <w:r w:rsidRPr="002460E2">
              <w:rPr>
                <w:sz w:val="18"/>
                <w:szCs w:val="18"/>
                <w:lang w:val="en-US"/>
              </w:rPr>
              <w:lastRenderedPageBreak/>
              <w:t>(2) Instituțiile calculează sensibilitățile delta ale CVA agregate la factorii de risc care constau în cursurile de schimb valutar la vedere, precum și ale unui instrument de acoperire eligibil la acești factori de risc după cum urmează:</w:t>
            </w:r>
          </w:p>
          <w:p w14:paraId="103567AC" w14:textId="77777777" w:rsidR="008D7F28" w:rsidRPr="002460E2" w:rsidRDefault="008D7F28" w:rsidP="008D7F28">
            <w:pPr>
              <w:rPr>
                <w:sz w:val="18"/>
                <w:szCs w:val="18"/>
              </w:rPr>
            </w:pPr>
            <w:r w:rsidRPr="002460E2">
              <w:rPr>
                <w:noProof/>
                <w:sz w:val="18"/>
                <w:szCs w:val="18"/>
              </w:rPr>
              <w:drawing>
                <wp:inline distT="0" distB="0" distL="0" distR="0" wp14:anchorId="7984500C" wp14:editId="1D8325C8">
                  <wp:extent cx="2325934" cy="294361"/>
                  <wp:effectExtent l="0" t="0" r="0"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6020" cy="300700"/>
                          </a:xfrm>
                          <a:prstGeom prst="rect">
                            <a:avLst/>
                          </a:prstGeom>
                          <a:noFill/>
                          <a:ln>
                            <a:noFill/>
                          </a:ln>
                        </pic:spPr>
                      </pic:pic>
                    </a:graphicData>
                  </a:graphic>
                </wp:inline>
              </w:drawing>
            </w:r>
          </w:p>
          <w:p w14:paraId="6BD6E1F6" w14:textId="77777777" w:rsidR="008D7F28" w:rsidRPr="002460E2" w:rsidRDefault="008D7F28" w:rsidP="008D7F28">
            <w:pPr>
              <w:rPr>
                <w:sz w:val="18"/>
                <w:szCs w:val="18"/>
              </w:rPr>
            </w:pPr>
            <w:r w:rsidRPr="002460E2">
              <w:rPr>
                <w:noProof/>
                <w:sz w:val="18"/>
                <w:szCs w:val="18"/>
              </w:rPr>
              <w:drawing>
                <wp:inline distT="0" distB="0" distL="0" distR="0" wp14:anchorId="6A418C1C" wp14:editId="09997BE7">
                  <wp:extent cx="2332081" cy="269310"/>
                  <wp:effectExtent l="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0123" cy="289870"/>
                          </a:xfrm>
                          <a:prstGeom prst="rect">
                            <a:avLst/>
                          </a:prstGeom>
                          <a:noFill/>
                          <a:ln>
                            <a:noFill/>
                          </a:ln>
                        </pic:spPr>
                      </pic:pic>
                    </a:graphicData>
                  </a:graphic>
                </wp:inline>
              </w:drawing>
            </w:r>
          </w:p>
          <w:p w14:paraId="2DA78837" w14:textId="77777777" w:rsidR="008D7F28" w:rsidRPr="002460E2" w:rsidRDefault="008D7F28" w:rsidP="008D7F28">
            <w:pPr>
              <w:rPr>
                <w:sz w:val="18"/>
                <w:szCs w:val="18"/>
              </w:rPr>
            </w:pPr>
            <w:r w:rsidRPr="002460E2">
              <w:rPr>
                <w:sz w:val="18"/>
                <w:szCs w:val="18"/>
              </w:rPr>
              <w:t>unde:</w:t>
            </w:r>
          </w:p>
          <w:tbl>
            <w:tblPr>
              <w:tblW w:w="4422" w:type="dxa"/>
              <w:tblLayout w:type="fixed"/>
              <w:tblCellMar>
                <w:left w:w="0" w:type="dxa"/>
                <w:right w:w="0" w:type="dxa"/>
              </w:tblCellMar>
              <w:tblLook w:val="04A0" w:firstRow="1" w:lastRow="0" w:firstColumn="1" w:lastColumn="0" w:noHBand="0" w:noVBand="1"/>
            </w:tblPr>
            <w:tblGrid>
              <w:gridCol w:w="368"/>
              <w:gridCol w:w="4054"/>
            </w:tblGrid>
            <w:tr w:rsidR="008D7F28" w:rsidRPr="002460E2" w14:paraId="1E0F628F" w14:textId="77777777" w:rsidTr="00015F07">
              <w:trPr>
                <w:trHeight w:val="406"/>
              </w:trPr>
              <w:tc>
                <w:tcPr>
                  <w:tcW w:w="368" w:type="dxa"/>
                  <w:shd w:val="clear" w:color="auto" w:fill="auto"/>
                  <w:hideMark/>
                </w:tcPr>
                <w:p w14:paraId="0F21648D" w14:textId="77777777" w:rsidR="008D7F28" w:rsidRPr="002460E2" w:rsidRDefault="008D7F28" w:rsidP="008D7F28">
                  <w:pPr>
                    <w:rPr>
                      <w:sz w:val="18"/>
                      <w:szCs w:val="18"/>
                    </w:rPr>
                  </w:pPr>
                  <w:r w:rsidRPr="002460E2">
                    <w:rPr>
                      <w:noProof/>
                      <w:sz w:val="18"/>
                      <w:szCs w:val="18"/>
                    </w:rPr>
                    <w:drawing>
                      <wp:inline distT="0" distB="0" distL="0" distR="0" wp14:anchorId="3F29DDA2" wp14:editId="16E37722">
                        <wp:extent cx="244444" cy="162838"/>
                        <wp:effectExtent l="0" t="0" r="3810" b="889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594" cy="164936"/>
                                </a:xfrm>
                                <a:prstGeom prst="rect">
                                  <a:avLst/>
                                </a:prstGeom>
                                <a:noFill/>
                                <a:ln>
                                  <a:noFill/>
                                </a:ln>
                              </pic:spPr>
                            </pic:pic>
                          </a:graphicData>
                        </a:graphic>
                      </wp:inline>
                    </w:drawing>
                  </w:r>
                </w:p>
              </w:tc>
              <w:tc>
                <w:tcPr>
                  <w:tcW w:w="4054" w:type="dxa"/>
                  <w:shd w:val="clear" w:color="auto" w:fill="auto"/>
                  <w:hideMark/>
                </w:tcPr>
                <w:p w14:paraId="0F1B1C0A" w14:textId="77777777" w:rsidR="008D7F28" w:rsidRPr="002460E2" w:rsidRDefault="008D7F28" w:rsidP="008D7F28">
                  <w:pPr>
                    <w:rPr>
                      <w:sz w:val="18"/>
                      <w:szCs w:val="18"/>
                      <w:lang w:val="en-US"/>
                    </w:rPr>
                  </w:pPr>
                  <w:r w:rsidRPr="002460E2">
                    <w:rPr>
                      <w:sz w:val="18"/>
                      <w:szCs w:val="18"/>
                      <w:lang w:val="en-US"/>
                    </w:rPr>
                    <w:t>= sensibilitățile CVA agregate la un factor de risc de curs de schimb valutar la vedere;</w:t>
                  </w:r>
                </w:p>
              </w:tc>
            </w:tr>
          </w:tbl>
          <w:p w14:paraId="4F44C0E5" w14:textId="77777777" w:rsidR="008D7F28" w:rsidRPr="002460E2" w:rsidRDefault="008D7F28" w:rsidP="008D7F28">
            <w:pPr>
              <w:rPr>
                <w:vanish/>
                <w:sz w:val="18"/>
                <w:szCs w:val="18"/>
              </w:rPr>
            </w:pPr>
          </w:p>
          <w:tbl>
            <w:tblPr>
              <w:tblW w:w="5271" w:type="dxa"/>
              <w:tblLayout w:type="fixed"/>
              <w:tblCellMar>
                <w:left w:w="0" w:type="dxa"/>
                <w:right w:w="0" w:type="dxa"/>
              </w:tblCellMar>
              <w:tblLook w:val="04A0" w:firstRow="1" w:lastRow="0" w:firstColumn="1" w:lastColumn="0" w:noHBand="0" w:noVBand="1"/>
            </w:tblPr>
            <w:tblGrid>
              <w:gridCol w:w="250"/>
              <w:gridCol w:w="5021"/>
            </w:tblGrid>
            <w:tr w:rsidR="008D7F28" w:rsidRPr="002460E2" w14:paraId="1C8BEB89" w14:textId="77777777" w:rsidTr="009F5549">
              <w:trPr>
                <w:trHeight w:val="836"/>
              </w:trPr>
              <w:tc>
                <w:tcPr>
                  <w:tcW w:w="250" w:type="dxa"/>
                  <w:shd w:val="clear" w:color="auto" w:fill="auto"/>
                  <w:hideMark/>
                </w:tcPr>
                <w:p w14:paraId="1BA8ECD5" w14:textId="77777777" w:rsidR="008D7F28" w:rsidRPr="002460E2" w:rsidRDefault="008D7F28" w:rsidP="008D7F28">
                  <w:pPr>
                    <w:rPr>
                      <w:sz w:val="18"/>
                      <w:szCs w:val="18"/>
                    </w:rPr>
                  </w:pPr>
                  <w:r w:rsidRPr="002460E2">
                    <w:rPr>
                      <w:i/>
                      <w:iCs/>
                      <w:sz w:val="18"/>
                      <w:szCs w:val="18"/>
                    </w:rPr>
                    <w:t>FX</w:t>
                  </w:r>
                  <w:r w:rsidRPr="002460E2">
                    <w:rPr>
                      <w:i/>
                      <w:iCs/>
                      <w:sz w:val="18"/>
                      <w:szCs w:val="18"/>
                      <w:vertAlign w:val="subscript"/>
                    </w:rPr>
                    <w:t>k</w:t>
                  </w:r>
                </w:p>
              </w:tc>
              <w:tc>
                <w:tcPr>
                  <w:tcW w:w="5021" w:type="dxa"/>
                  <w:shd w:val="clear" w:color="auto" w:fill="auto"/>
                  <w:hideMark/>
                </w:tcPr>
                <w:p w14:paraId="71E1DCB7" w14:textId="77777777" w:rsidR="008D7F28" w:rsidRPr="002460E2" w:rsidRDefault="008D7F28" w:rsidP="008D7F28">
                  <w:pPr>
                    <w:rPr>
                      <w:sz w:val="18"/>
                      <w:szCs w:val="18"/>
                      <w:lang w:val="en-US"/>
                    </w:rPr>
                  </w:pPr>
                  <w:r w:rsidRPr="002460E2">
                    <w:rPr>
                      <w:sz w:val="18"/>
                      <w:szCs w:val="18"/>
                      <w:lang w:val="en-US"/>
                    </w:rPr>
                    <w:t xml:space="preserve">= valoarea factorului de risc de curs de schimb valutar </w:t>
                  </w:r>
                </w:p>
                <w:p w14:paraId="3A92607A" w14:textId="592EC253" w:rsidR="008D7F28" w:rsidRPr="002460E2" w:rsidRDefault="008D7F28" w:rsidP="008D7F28">
                  <w:pPr>
                    <w:rPr>
                      <w:sz w:val="18"/>
                      <w:szCs w:val="18"/>
                      <w:lang w:val="en-US"/>
                    </w:rPr>
                  </w:pPr>
                  <w:r w:rsidRPr="002460E2">
                    <w:rPr>
                      <w:sz w:val="18"/>
                      <w:szCs w:val="18"/>
                      <w:lang w:val="en-US"/>
                    </w:rPr>
                    <w:t>la vedere k;</w:t>
                  </w:r>
                </w:p>
              </w:tc>
            </w:tr>
          </w:tbl>
          <w:p w14:paraId="3ED797A0" w14:textId="77777777" w:rsidR="008D7F28" w:rsidRPr="002460E2" w:rsidRDefault="008D7F28" w:rsidP="008D7F28">
            <w:pPr>
              <w:rPr>
                <w:vanish/>
                <w:sz w:val="18"/>
                <w:szCs w:val="18"/>
              </w:rPr>
            </w:pPr>
          </w:p>
          <w:tbl>
            <w:tblPr>
              <w:tblW w:w="5321" w:type="dxa"/>
              <w:tblLayout w:type="fixed"/>
              <w:tblCellMar>
                <w:left w:w="0" w:type="dxa"/>
                <w:right w:w="0" w:type="dxa"/>
              </w:tblCellMar>
              <w:tblLook w:val="04A0" w:firstRow="1" w:lastRow="0" w:firstColumn="1" w:lastColumn="0" w:noHBand="0" w:noVBand="1"/>
            </w:tblPr>
            <w:tblGrid>
              <w:gridCol w:w="316"/>
              <w:gridCol w:w="5005"/>
            </w:tblGrid>
            <w:tr w:rsidR="008D7F28" w:rsidRPr="002460E2" w14:paraId="23627FE3" w14:textId="77777777" w:rsidTr="009F5549">
              <w:trPr>
                <w:trHeight w:val="728"/>
              </w:trPr>
              <w:tc>
                <w:tcPr>
                  <w:tcW w:w="316" w:type="dxa"/>
                  <w:shd w:val="clear" w:color="auto" w:fill="auto"/>
                  <w:hideMark/>
                </w:tcPr>
                <w:p w14:paraId="6FE09915"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5005" w:type="dxa"/>
                  <w:shd w:val="clear" w:color="auto" w:fill="auto"/>
                  <w:hideMark/>
                </w:tcPr>
                <w:p w14:paraId="2DCEBAE6"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165DB12B" w14:textId="6EE4C38C" w:rsidR="008D7F28" w:rsidRPr="002460E2" w:rsidRDefault="008D7F28" w:rsidP="008D7F28">
                  <w:pPr>
                    <w:rPr>
                      <w:sz w:val="18"/>
                      <w:szCs w:val="18"/>
                      <w:lang w:val="en-US"/>
                    </w:rPr>
                  </w:pPr>
                  <w:r w:rsidRPr="002460E2">
                    <w:rPr>
                      <w:sz w:val="18"/>
                      <w:szCs w:val="18"/>
                      <w:lang w:val="en-US"/>
                    </w:rPr>
                    <w:t>reglementară;</w:t>
                  </w:r>
                </w:p>
              </w:tc>
            </w:tr>
          </w:tbl>
          <w:p w14:paraId="14D0E2F6"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94"/>
              <w:gridCol w:w="3743"/>
            </w:tblGrid>
            <w:tr w:rsidR="008D7F28" w:rsidRPr="002460E2" w14:paraId="0AD65002" w14:textId="77777777" w:rsidTr="005E4B33">
              <w:tc>
                <w:tcPr>
                  <w:tcW w:w="658" w:type="dxa"/>
                  <w:shd w:val="clear" w:color="auto" w:fill="auto"/>
                  <w:hideMark/>
                </w:tcPr>
                <w:p w14:paraId="2C9FB363" w14:textId="77777777" w:rsidR="008D7F28" w:rsidRPr="002460E2" w:rsidRDefault="008D7F28" w:rsidP="008D7F28">
                  <w:pPr>
                    <w:rPr>
                      <w:sz w:val="18"/>
                      <w:szCs w:val="18"/>
                    </w:rPr>
                  </w:pPr>
                  <w:r w:rsidRPr="002460E2">
                    <w:rPr>
                      <w:i/>
                      <w:iCs/>
                      <w:sz w:val="18"/>
                      <w:szCs w:val="18"/>
                    </w:rPr>
                    <w:t>x,y</w:t>
                  </w:r>
                </w:p>
              </w:tc>
              <w:tc>
                <w:tcPr>
                  <w:tcW w:w="8697" w:type="dxa"/>
                  <w:shd w:val="clear" w:color="auto" w:fill="auto"/>
                  <w:hideMark/>
                </w:tcPr>
                <w:p w14:paraId="05B1A367"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FX</w:t>
                  </w:r>
                  <w:r w:rsidRPr="002460E2">
                    <w:rPr>
                      <w:i/>
                      <w:iCs/>
                      <w:sz w:val="18"/>
                      <w:szCs w:val="18"/>
                      <w:vertAlign w:val="subscript"/>
                      <w:lang w:val="en-US"/>
                    </w:rPr>
                    <w:t>k</w:t>
                  </w:r>
                  <w:r w:rsidRPr="002460E2">
                    <w:rPr>
                      <w:i/>
                      <w:iCs/>
                      <w:sz w:val="18"/>
                      <w:szCs w:val="18"/>
                      <w:lang w:val="en-US"/>
                    </w:rPr>
                    <w:t> </w:t>
                  </w:r>
                  <w:r w:rsidRPr="002460E2">
                    <w:rPr>
                      <w:sz w:val="18"/>
                      <w:szCs w:val="18"/>
                      <w:lang w:val="en-US"/>
                    </w:rPr>
                    <w:t>în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5AC808EF"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593"/>
              <w:gridCol w:w="3444"/>
            </w:tblGrid>
            <w:tr w:rsidR="008D7F28" w:rsidRPr="002460E2" w14:paraId="73AFC8F2" w14:textId="77777777" w:rsidTr="005E4B33">
              <w:tc>
                <w:tcPr>
                  <w:tcW w:w="1356" w:type="dxa"/>
                  <w:shd w:val="clear" w:color="auto" w:fill="auto"/>
                  <w:hideMark/>
                </w:tcPr>
                <w:p w14:paraId="470B991B" w14:textId="77777777" w:rsidR="008D7F28" w:rsidRPr="002460E2" w:rsidRDefault="008D7F28" w:rsidP="008D7F28">
                  <w:pPr>
                    <w:rPr>
                      <w:sz w:val="18"/>
                      <w:szCs w:val="18"/>
                    </w:rPr>
                  </w:pPr>
                  <w:r w:rsidRPr="002460E2">
                    <w:rPr>
                      <w:noProof/>
                      <w:sz w:val="18"/>
                      <w:szCs w:val="18"/>
                    </w:rPr>
                    <w:drawing>
                      <wp:inline distT="0" distB="0" distL="0" distR="0" wp14:anchorId="5A18A340" wp14:editId="7AE3A0B7">
                        <wp:extent cx="338352" cy="125260"/>
                        <wp:effectExtent l="0" t="0" r="5080" b="8255"/>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707" cy="145753"/>
                                </a:xfrm>
                                <a:prstGeom prst="rect">
                                  <a:avLst/>
                                </a:prstGeom>
                                <a:noFill/>
                                <a:ln>
                                  <a:noFill/>
                                </a:ln>
                              </pic:spPr>
                            </pic:pic>
                          </a:graphicData>
                        </a:graphic>
                      </wp:inline>
                    </w:drawing>
                  </w:r>
                </w:p>
              </w:tc>
              <w:tc>
                <w:tcPr>
                  <w:tcW w:w="7999" w:type="dxa"/>
                  <w:shd w:val="clear" w:color="auto" w:fill="auto"/>
                  <w:hideMark/>
                </w:tcPr>
                <w:p w14:paraId="22FD8A4F"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curs de schimb valutar la vedere;</w:t>
                  </w:r>
                </w:p>
              </w:tc>
            </w:tr>
          </w:tbl>
          <w:p w14:paraId="39BCDA5C"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62F5DBE9" w14:textId="77777777" w:rsidTr="005E4B33">
              <w:tc>
                <w:tcPr>
                  <w:tcW w:w="370" w:type="dxa"/>
                  <w:shd w:val="clear" w:color="auto" w:fill="auto"/>
                  <w:hideMark/>
                </w:tcPr>
                <w:p w14:paraId="1D11CB5F"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4EB3CE15"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0D026326"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31"/>
              <w:gridCol w:w="3806"/>
            </w:tblGrid>
            <w:tr w:rsidR="008D7F28" w:rsidRPr="002460E2" w14:paraId="38F33767" w14:textId="77777777" w:rsidTr="005E4B33">
              <w:tc>
                <w:tcPr>
                  <w:tcW w:w="511" w:type="dxa"/>
                  <w:shd w:val="clear" w:color="auto" w:fill="auto"/>
                  <w:hideMark/>
                </w:tcPr>
                <w:p w14:paraId="2FA252B1" w14:textId="77777777" w:rsidR="008D7F28" w:rsidRPr="002460E2" w:rsidRDefault="008D7F28" w:rsidP="008D7F28">
                  <w:pPr>
                    <w:rPr>
                      <w:sz w:val="18"/>
                      <w:szCs w:val="18"/>
                    </w:rPr>
                  </w:pPr>
                  <w:r w:rsidRPr="002460E2">
                    <w:rPr>
                      <w:i/>
                      <w:iCs/>
                      <w:sz w:val="18"/>
                      <w:szCs w:val="18"/>
                    </w:rPr>
                    <w:t>w,z</w:t>
                  </w:r>
                </w:p>
              </w:tc>
              <w:tc>
                <w:tcPr>
                  <w:tcW w:w="8844" w:type="dxa"/>
                  <w:shd w:val="clear" w:color="auto" w:fill="auto"/>
                  <w:hideMark/>
                </w:tcPr>
                <w:p w14:paraId="014B1863"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FX</w:t>
                  </w:r>
                  <w:r w:rsidRPr="002460E2">
                    <w:rPr>
                      <w:i/>
                      <w:iCs/>
                      <w:sz w:val="18"/>
                      <w:szCs w:val="18"/>
                      <w:vertAlign w:val="subscript"/>
                      <w:lang w:val="en-US"/>
                    </w:rPr>
                    <w:t>k</w:t>
                  </w:r>
                  <w:r w:rsidRPr="002460E2">
                    <w:rPr>
                      <w:i/>
                      <w:iCs/>
                      <w:sz w:val="18"/>
                      <w:szCs w:val="18"/>
                      <w:lang w:val="en-US"/>
                    </w:rPr>
                    <w:t> </w:t>
                  </w:r>
                  <w:r w:rsidRPr="002460E2">
                    <w:rPr>
                      <w:sz w:val="18"/>
                      <w:szCs w:val="18"/>
                      <w:lang w:val="en-US"/>
                    </w:rPr>
                    <w:t>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65A12F0D" w14:textId="77777777" w:rsidR="008D7F28" w:rsidRPr="002460E2" w:rsidRDefault="008D7F28" w:rsidP="008D7F28">
            <w:pPr>
              <w:rPr>
                <w:vanish/>
                <w:sz w:val="18"/>
                <w:szCs w:val="18"/>
                <w:lang w:val="en-US"/>
              </w:rPr>
            </w:pPr>
          </w:p>
          <w:tbl>
            <w:tblPr>
              <w:tblW w:w="5000" w:type="pct"/>
              <w:tblLayout w:type="fixed"/>
              <w:tblCellMar>
                <w:left w:w="0" w:type="dxa"/>
                <w:right w:w="0" w:type="dxa"/>
              </w:tblCellMar>
              <w:tblLook w:val="04A0" w:firstRow="1" w:lastRow="0" w:firstColumn="1" w:lastColumn="0" w:noHBand="0" w:noVBand="1"/>
            </w:tblPr>
            <w:tblGrid>
              <w:gridCol w:w="226"/>
              <w:gridCol w:w="3811"/>
            </w:tblGrid>
            <w:tr w:rsidR="008D7F28" w:rsidRPr="002460E2" w14:paraId="6CC5C0DA" w14:textId="77777777" w:rsidTr="005E4B33">
              <w:tc>
                <w:tcPr>
                  <w:tcW w:w="501" w:type="dxa"/>
                  <w:shd w:val="clear" w:color="auto" w:fill="auto"/>
                </w:tcPr>
                <w:p w14:paraId="7396F9B5" w14:textId="77777777" w:rsidR="008D7F28" w:rsidRPr="002460E2" w:rsidRDefault="008D7F28" w:rsidP="008D7F28">
                  <w:pPr>
                    <w:rPr>
                      <w:sz w:val="18"/>
                      <w:szCs w:val="18"/>
                      <w:lang w:val="en-US"/>
                    </w:rPr>
                  </w:pPr>
                </w:p>
              </w:tc>
              <w:tc>
                <w:tcPr>
                  <w:tcW w:w="8854" w:type="dxa"/>
                  <w:shd w:val="clear" w:color="auto" w:fill="auto"/>
                </w:tcPr>
                <w:p w14:paraId="01F69BDB" w14:textId="77777777" w:rsidR="008D7F28" w:rsidRPr="002460E2" w:rsidRDefault="008D7F28" w:rsidP="008D7F28">
                  <w:pPr>
                    <w:rPr>
                      <w:sz w:val="18"/>
                      <w:szCs w:val="18"/>
                      <w:lang w:val="en-US"/>
                    </w:rPr>
                  </w:pPr>
                </w:p>
              </w:tc>
            </w:tr>
          </w:tbl>
          <w:p w14:paraId="76D22502" w14:textId="1BAE90D9" w:rsidR="008D7F28" w:rsidRPr="002460E2" w:rsidRDefault="008D7F28" w:rsidP="008D7F28">
            <w:pPr>
              <w:pStyle w:val="title-article-norm"/>
              <w:jc w:val="left"/>
              <w:rPr>
                <w:i w:val="0"/>
                <w:sz w:val="18"/>
                <w:szCs w:val="18"/>
              </w:rPr>
            </w:pPr>
          </w:p>
        </w:tc>
        <w:tc>
          <w:tcPr>
            <w:tcW w:w="3685" w:type="dxa"/>
            <w:shd w:val="clear" w:color="auto" w:fill="auto"/>
          </w:tcPr>
          <w:p w14:paraId="5C5056B3" w14:textId="03F984BF" w:rsidR="00AE3F89" w:rsidRPr="002460E2" w:rsidRDefault="00FB32FD" w:rsidP="00AE3F89">
            <w:pPr>
              <w:tabs>
                <w:tab w:val="left" w:pos="993"/>
                <w:tab w:val="left" w:pos="1134"/>
              </w:tabs>
              <w:jc w:val="both"/>
              <w:rPr>
                <w:sz w:val="18"/>
                <w:szCs w:val="18"/>
                <w:lang w:val="ro-MD" w:eastAsia="en-US"/>
              </w:rPr>
            </w:pPr>
            <w:r w:rsidRPr="002460E2">
              <w:rPr>
                <w:sz w:val="18"/>
                <w:szCs w:val="18"/>
                <w:lang w:val="ro-MD" w:eastAsia="en-US"/>
              </w:rPr>
              <w:t>64</w:t>
            </w:r>
            <w:r w:rsidR="00AE3F89" w:rsidRPr="002460E2">
              <w:rPr>
                <w:sz w:val="18"/>
                <w:szCs w:val="18"/>
                <w:lang w:val="ro-MD" w:eastAsia="en-US"/>
              </w:rPr>
              <w:t>. Băncile calculează sensibilitățile delta ale CVA agregate la factorii de risc care constau în cursurile de schimb valutar la vedere, precum și ale unui instrument de acoperire eligibil la acești factori de risc după cum urmează:</w:t>
            </w:r>
          </w:p>
          <w:p w14:paraId="111AFF8D" w14:textId="77777777" w:rsidR="00AE3F89" w:rsidRPr="002460E2" w:rsidRDefault="00AE3F89" w:rsidP="00AE3F89">
            <w:pPr>
              <w:tabs>
                <w:tab w:val="left" w:pos="993"/>
                <w:tab w:val="left" w:pos="1134"/>
              </w:tabs>
              <w:ind w:left="720"/>
              <w:contextualSpacing/>
              <w:jc w:val="both"/>
              <w:rPr>
                <w:sz w:val="18"/>
                <w:szCs w:val="18"/>
                <w:lang w:val="ro-MD" w:eastAsia="en-US"/>
              </w:rPr>
            </w:pPr>
            <w:r w:rsidRPr="002460E2">
              <w:rPr>
                <w:noProof/>
                <w:sz w:val="18"/>
                <w:szCs w:val="18"/>
                <w:lang w:val="ro-MD" w:eastAsia="en-US"/>
              </w:rPr>
              <w:drawing>
                <wp:inline distT="0" distB="0" distL="0" distR="0" wp14:anchorId="56CD2F75" wp14:editId="567E7E07">
                  <wp:extent cx="1691014" cy="214008"/>
                  <wp:effectExtent l="0" t="0" r="4445" b="0"/>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8624" cy="220033"/>
                          </a:xfrm>
                          <a:prstGeom prst="rect">
                            <a:avLst/>
                          </a:prstGeom>
                          <a:noFill/>
                          <a:ln>
                            <a:noFill/>
                          </a:ln>
                        </pic:spPr>
                      </pic:pic>
                    </a:graphicData>
                  </a:graphic>
                </wp:inline>
              </w:drawing>
            </w:r>
          </w:p>
          <w:p w14:paraId="53CA74A0" w14:textId="77777777" w:rsidR="00AE3F89" w:rsidRPr="002460E2" w:rsidRDefault="00AE3F89" w:rsidP="00AE3F89">
            <w:pPr>
              <w:tabs>
                <w:tab w:val="left" w:pos="993"/>
                <w:tab w:val="left" w:pos="1134"/>
              </w:tabs>
              <w:ind w:left="720"/>
              <w:contextualSpacing/>
              <w:jc w:val="both"/>
              <w:rPr>
                <w:sz w:val="18"/>
                <w:szCs w:val="18"/>
                <w:lang w:val="ro-MD" w:eastAsia="en-US"/>
              </w:rPr>
            </w:pPr>
            <w:r w:rsidRPr="002460E2">
              <w:rPr>
                <w:noProof/>
                <w:sz w:val="18"/>
                <w:szCs w:val="18"/>
                <w:lang w:val="ro-MD" w:eastAsia="en-US"/>
              </w:rPr>
              <w:drawing>
                <wp:inline distT="0" distB="0" distL="0" distR="0" wp14:anchorId="2B6B436B" wp14:editId="71FC660B">
                  <wp:extent cx="1768962" cy="204281"/>
                  <wp:effectExtent l="0" t="0" r="3175" b="5715"/>
                  <wp:docPr id="114" name="Pictur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7333" cy="227189"/>
                          </a:xfrm>
                          <a:prstGeom prst="rect">
                            <a:avLst/>
                          </a:prstGeom>
                          <a:noFill/>
                          <a:ln>
                            <a:noFill/>
                          </a:ln>
                        </pic:spPr>
                      </pic:pic>
                    </a:graphicData>
                  </a:graphic>
                </wp:inline>
              </w:drawing>
            </w:r>
          </w:p>
          <w:p w14:paraId="18E90501" w14:textId="77777777" w:rsidR="00AE3F89" w:rsidRPr="002460E2" w:rsidRDefault="00AE3F89" w:rsidP="00AE3F89">
            <w:pPr>
              <w:tabs>
                <w:tab w:val="left" w:pos="993"/>
                <w:tab w:val="left" w:pos="1134"/>
              </w:tabs>
              <w:jc w:val="both"/>
              <w:rPr>
                <w:sz w:val="18"/>
                <w:szCs w:val="18"/>
                <w:lang w:val="ro-MD" w:eastAsia="en-US"/>
              </w:rPr>
            </w:pPr>
            <w:r w:rsidRPr="002460E2">
              <w:rPr>
                <w:sz w:val="18"/>
                <w:szCs w:val="18"/>
                <w:lang w:val="ro-MD" w:eastAsia="en-US"/>
              </w:rPr>
              <w:t>unde:</w:t>
            </w:r>
          </w:p>
          <w:p w14:paraId="3E71B9E6" w14:textId="77777777" w:rsidR="00AE3F89" w:rsidRPr="002460E2" w:rsidRDefault="00AE3F89" w:rsidP="00AE3F89">
            <w:pPr>
              <w:tabs>
                <w:tab w:val="left" w:pos="993"/>
                <w:tab w:val="left" w:pos="1134"/>
              </w:tabs>
              <w:jc w:val="both"/>
              <w:rPr>
                <w:sz w:val="18"/>
                <w:szCs w:val="18"/>
                <w:lang w:val="ro-MD" w:eastAsia="en-US"/>
              </w:rPr>
            </w:pPr>
            <w:r w:rsidRPr="002460E2">
              <w:rPr>
                <w:rFonts w:eastAsiaTheme="minorHAnsi"/>
                <w:noProof/>
                <w:sz w:val="18"/>
                <w:szCs w:val="18"/>
                <w:lang w:val="en-US" w:eastAsia="en-US"/>
              </w:rPr>
              <w:drawing>
                <wp:inline distT="0" distB="0" distL="0" distR="0" wp14:anchorId="00C4651B" wp14:editId="09677755">
                  <wp:extent cx="325755" cy="222885"/>
                  <wp:effectExtent l="0" t="0" r="0" b="0"/>
                  <wp:docPr id="115"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2460E2">
              <w:rPr>
                <w:sz w:val="18"/>
                <w:szCs w:val="18"/>
                <w:lang w:val="ro-MD" w:eastAsia="en-US"/>
              </w:rPr>
              <w:t xml:space="preserve"> = sensibilitățile CVA agregate la un factor de risc de curs de schimb valutar la vedere;</w:t>
            </w:r>
          </w:p>
          <w:p w14:paraId="2BF591C9" w14:textId="77777777" w:rsidR="00AE3F89" w:rsidRPr="002460E2" w:rsidRDefault="00AE3F89" w:rsidP="00AE3F89">
            <w:pPr>
              <w:tabs>
                <w:tab w:val="left" w:pos="993"/>
                <w:tab w:val="left" w:pos="1134"/>
              </w:tabs>
              <w:jc w:val="both"/>
              <w:rPr>
                <w:sz w:val="18"/>
                <w:szCs w:val="18"/>
                <w:lang w:val="ro-MD" w:eastAsia="en-US"/>
              </w:rPr>
            </w:pPr>
            <w:r w:rsidRPr="002460E2">
              <w:rPr>
                <w:rFonts w:eastAsiaTheme="minorHAnsi"/>
                <w:i/>
                <w:iCs/>
                <w:color w:val="000000"/>
                <w:sz w:val="18"/>
                <w:szCs w:val="18"/>
                <w:shd w:val="clear" w:color="auto" w:fill="FFFFFF"/>
                <w:lang w:val="en-US" w:eastAsia="en-US"/>
              </w:rPr>
              <w:t>FX</w:t>
            </w:r>
            <w:r w:rsidRPr="002460E2">
              <w:rPr>
                <w:rFonts w:eastAsiaTheme="minorHAnsi"/>
                <w:i/>
                <w:iCs/>
                <w:color w:val="000000"/>
                <w:sz w:val="18"/>
                <w:szCs w:val="18"/>
                <w:shd w:val="clear" w:color="auto" w:fill="FFFFFF"/>
                <w:vertAlign w:val="subscript"/>
                <w:lang w:val="en-US" w:eastAsia="en-US"/>
              </w:rPr>
              <w:t xml:space="preserve">k </w:t>
            </w:r>
            <w:r w:rsidRPr="002460E2">
              <w:rPr>
                <w:rFonts w:eastAsiaTheme="minorHAnsi"/>
                <w:color w:val="000000"/>
                <w:sz w:val="18"/>
                <w:szCs w:val="18"/>
                <w:shd w:val="clear" w:color="auto" w:fill="FFFFFF"/>
                <w:lang w:val="en-US" w:eastAsia="en-US"/>
              </w:rPr>
              <w:t xml:space="preserve">= </w:t>
            </w:r>
            <w:r w:rsidRPr="002460E2">
              <w:rPr>
                <w:sz w:val="18"/>
                <w:szCs w:val="18"/>
                <w:lang w:val="ro-MD" w:eastAsia="en-US"/>
              </w:rPr>
              <w:t>valoarea factorului de risc de curs de schimb valutar la vedere k;</w:t>
            </w:r>
          </w:p>
          <w:p w14:paraId="06E68EB6" w14:textId="77777777" w:rsidR="00AE3F89" w:rsidRPr="002460E2" w:rsidRDefault="00AE3F89" w:rsidP="00AE3F89">
            <w:pPr>
              <w:tabs>
                <w:tab w:val="left" w:pos="993"/>
                <w:tab w:val="left" w:pos="1134"/>
              </w:tabs>
              <w:jc w:val="both"/>
              <w:rPr>
                <w:sz w:val="18"/>
                <w:szCs w:val="18"/>
                <w:lang w:val="ro-MD" w:eastAsia="en-US"/>
              </w:rPr>
            </w:pPr>
            <w:r w:rsidRPr="002460E2">
              <w:rPr>
                <w:i/>
                <w:iCs/>
                <w:sz w:val="18"/>
                <w:szCs w:val="18"/>
                <w:lang w:val="en-US" w:eastAsia="en-US"/>
              </w:rPr>
              <w:t>V</w:t>
            </w:r>
            <w:r w:rsidRPr="002460E2">
              <w:rPr>
                <w:i/>
                <w:iCs/>
                <w:sz w:val="18"/>
                <w:szCs w:val="18"/>
                <w:vertAlign w:val="subscript"/>
                <w:lang w:val="en-US" w:eastAsia="en-US"/>
              </w:rPr>
              <w:t xml:space="preserve">CVA </w:t>
            </w:r>
            <w:r w:rsidRPr="002460E2">
              <w:rPr>
                <w:sz w:val="18"/>
                <w:szCs w:val="18"/>
                <w:lang w:val="en-US" w:eastAsia="en-US"/>
              </w:rPr>
              <w:t xml:space="preserve">= </w:t>
            </w:r>
            <w:r w:rsidRPr="002460E2">
              <w:rPr>
                <w:sz w:val="18"/>
                <w:szCs w:val="18"/>
                <w:lang w:val="ro-MD" w:eastAsia="en-US"/>
              </w:rPr>
              <w:t>CVA agregată calculată pe baza modelului de CVA reglementară;</w:t>
            </w:r>
          </w:p>
          <w:p w14:paraId="55FD828E" w14:textId="77777777" w:rsidR="00AE3F89" w:rsidRPr="002460E2" w:rsidRDefault="00AE3F89" w:rsidP="00AE3F89">
            <w:pPr>
              <w:tabs>
                <w:tab w:val="left" w:pos="993"/>
                <w:tab w:val="left" w:pos="1134"/>
              </w:tabs>
              <w:jc w:val="both"/>
              <w:rPr>
                <w:sz w:val="18"/>
                <w:szCs w:val="18"/>
                <w:lang w:val="ro-MD" w:eastAsia="en-US"/>
              </w:rPr>
            </w:pPr>
            <w:r w:rsidRPr="002460E2">
              <w:rPr>
                <w:i/>
                <w:iCs/>
                <w:sz w:val="18"/>
                <w:szCs w:val="18"/>
                <w:lang w:val="ro-MD" w:eastAsia="en-US"/>
              </w:rPr>
              <w:t>x, y</w:t>
            </w:r>
            <w:r w:rsidRPr="002460E2">
              <w:rPr>
                <w:sz w:val="18"/>
                <w:szCs w:val="18"/>
                <w:lang w:val="ro-MD" w:eastAsia="en-US"/>
              </w:rPr>
              <w:t xml:space="preserve"> = alți factori de risc decât </w:t>
            </w:r>
            <w:r w:rsidRPr="002460E2">
              <w:rPr>
                <w:i/>
                <w:iCs/>
                <w:sz w:val="18"/>
                <w:szCs w:val="18"/>
                <w:lang w:val="ro-MD" w:eastAsia="en-US"/>
              </w:rPr>
              <w:t>FX</w:t>
            </w:r>
            <w:r w:rsidRPr="002460E2">
              <w:rPr>
                <w:i/>
                <w:iCs/>
                <w:sz w:val="18"/>
                <w:szCs w:val="18"/>
                <w:vertAlign w:val="subscript"/>
                <w:lang w:val="ro-MD" w:eastAsia="en-US"/>
              </w:rPr>
              <w:t>k</w:t>
            </w:r>
            <w:r w:rsidRPr="002460E2">
              <w:rPr>
                <w:i/>
                <w:iCs/>
                <w:sz w:val="18"/>
                <w:szCs w:val="18"/>
                <w:lang w:val="ro-MD" w:eastAsia="en-US"/>
              </w:rPr>
              <w:t> </w:t>
            </w:r>
            <w:r w:rsidRPr="002460E2">
              <w:rPr>
                <w:sz w:val="18"/>
                <w:szCs w:val="18"/>
                <w:lang w:val="ro-MD" w:eastAsia="en-US"/>
              </w:rPr>
              <w:t>în </w:t>
            </w:r>
            <w:r w:rsidRPr="002460E2">
              <w:rPr>
                <w:i/>
                <w:iCs/>
                <w:sz w:val="18"/>
                <w:szCs w:val="18"/>
                <w:lang w:val="ro-MD" w:eastAsia="en-US"/>
              </w:rPr>
              <w:t>V</w:t>
            </w:r>
            <w:r w:rsidRPr="002460E2">
              <w:rPr>
                <w:i/>
                <w:iCs/>
                <w:sz w:val="18"/>
                <w:szCs w:val="18"/>
                <w:vertAlign w:val="subscript"/>
                <w:lang w:val="ro-MD" w:eastAsia="en-US"/>
              </w:rPr>
              <w:t>CVA</w:t>
            </w:r>
            <w:r w:rsidRPr="002460E2">
              <w:rPr>
                <w:sz w:val="18"/>
                <w:szCs w:val="18"/>
                <w:lang w:val="ro-MD" w:eastAsia="en-US"/>
              </w:rPr>
              <w:t>;</w:t>
            </w:r>
          </w:p>
          <w:p w14:paraId="79866264" w14:textId="77777777" w:rsidR="00AE3F89" w:rsidRPr="002460E2" w:rsidRDefault="00AE3F89" w:rsidP="00AE3F89">
            <w:pPr>
              <w:tabs>
                <w:tab w:val="left" w:pos="993"/>
                <w:tab w:val="left" w:pos="1134"/>
              </w:tabs>
              <w:jc w:val="both"/>
              <w:rPr>
                <w:sz w:val="18"/>
                <w:szCs w:val="18"/>
                <w:lang w:val="en-US" w:eastAsia="en-US"/>
              </w:rPr>
            </w:pPr>
            <w:r w:rsidRPr="002460E2">
              <w:rPr>
                <w:rFonts w:eastAsiaTheme="minorHAnsi"/>
                <w:noProof/>
                <w:sz w:val="18"/>
                <w:szCs w:val="18"/>
                <w:lang w:val="en-US" w:eastAsia="en-US"/>
              </w:rPr>
              <w:drawing>
                <wp:inline distT="0" distB="0" distL="0" distR="0" wp14:anchorId="6159A609" wp14:editId="4743886A">
                  <wp:extent cx="683895" cy="254635"/>
                  <wp:effectExtent l="0" t="0" r="0" b="0"/>
                  <wp:docPr id="116"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sz w:val="18"/>
                <w:szCs w:val="18"/>
                <w:lang w:val="ro-MD" w:eastAsia="en-US"/>
              </w:rPr>
              <w:t>=</w:t>
            </w:r>
            <w:r w:rsidRPr="002460E2">
              <w:rPr>
                <w:rFonts w:eastAsiaTheme="minorHAnsi"/>
                <w:color w:val="000000"/>
                <w:sz w:val="18"/>
                <w:szCs w:val="18"/>
                <w:shd w:val="clear" w:color="auto" w:fill="FFFFFF"/>
                <w:lang w:val="en-US" w:eastAsia="en-US"/>
              </w:rPr>
              <w:t xml:space="preserve"> </w:t>
            </w:r>
            <w:r w:rsidRPr="002460E2">
              <w:rPr>
                <w:sz w:val="18"/>
                <w:szCs w:val="18"/>
                <w:lang w:val="en-US" w:eastAsia="en-US"/>
              </w:rPr>
              <w:t>sensibilitățile acoperirii eligibile i la un factor de risc de curs de schimb valutar la vedere;</w:t>
            </w:r>
          </w:p>
          <w:p w14:paraId="33798A3E" w14:textId="77777777" w:rsidR="00AE3F89" w:rsidRPr="002460E2" w:rsidRDefault="00AE3F89" w:rsidP="00AE3F89">
            <w:pPr>
              <w:jc w:val="both"/>
              <w:rPr>
                <w:color w:val="000000"/>
                <w:sz w:val="18"/>
                <w:szCs w:val="18"/>
                <w:lang w:val="en-US" w:eastAsia="ro-MD"/>
              </w:rPr>
            </w:pPr>
            <w:r w:rsidRPr="002460E2">
              <w:rPr>
                <w:i/>
                <w:iCs/>
                <w:color w:val="000000"/>
                <w:sz w:val="18"/>
                <w:szCs w:val="18"/>
                <w:lang w:val="ro-MD" w:eastAsia="ro-MD"/>
              </w:rPr>
              <w:t>V</w:t>
            </w:r>
            <w:r w:rsidRPr="002460E2">
              <w:rPr>
                <w:i/>
                <w:iCs/>
                <w:color w:val="000000"/>
                <w:sz w:val="18"/>
                <w:szCs w:val="18"/>
                <w:vertAlign w:val="subscript"/>
                <w:lang w:val="ro-MD" w:eastAsia="ro-MD"/>
              </w:rPr>
              <w:t xml:space="preserve">i </w:t>
            </w:r>
            <w:r w:rsidRPr="002460E2">
              <w:rPr>
                <w:color w:val="000000"/>
                <w:sz w:val="18"/>
                <w:szCs w:val="18"/>
                <w:lang w:val="ro-MD" w:eastAsia="ro-MD"/>
              </w:rPr>
              <w:t xml:space="preserve">= </w:t>
            </w:r>
            <w:r w:rsidRPr="002460E2">
              <w:rPr>
                <w:color w:val="000000"/>
                <w:sz w:val="18"/>
                <w:szCs w:val="18"/>
                <w:lang w:val="en-US" w:eastAsia="ro-MD"/>
              </w:rPr>
              <w:t>funcția de evaluare a acoperirii eligibile i;</w:t>
            </w:r>
          </w:p>
          <w:p w14:paraId="58B9465C" w14:textId="77777777" w:rsidR="00AE3F89" w:rsidRPr="002460E2" w:rsidRDefault="00AE3F89" w:rsidP="00AE3F89">
            <w:pPr>
              <w:jc w:val="both"/>
              <w:rPr>
                <w:color w:val="000000"/>
                <w:sz w:val="18"/>
                <w:szCs w:val="18"/>
                <w:lang w:val="en-US" w:eastAsia="ro-MD"/>
              </w:rPr>
            </w:pPr>
            <w:r w:rsidRPr="002460E2">
              <w:rPr>
                <w:i/>
                <w:iCs/>
                <w:color w:val="000000"/>
                <w:sz w:val="18"/>
                <w:szCs w:val="18"/>
                <w:lang w:val="en-US" w:eastAsia="ro-MD"/>
              </w:rPr>
              <w:t>w, z</w:t>
            </w:r>
            <w:r w:rsidRPr="002460E2">
              <w:rPr>
                <w:color w:val="000000"/>
                <w:sz w:val="18"/>
                <w:szCs w:val="18"/>
                <w:lang w:val="en-US" w:eastAsia="ro-MD"/>
              </w:rPr>
              <w:t xml:space="preserve"> =</w:t>
            </w:r>
            <w:r w:rsidRPr="002460E2">
              <w:rPr>
                <w:rFonts w:eastAsiaTheme="minorHAnsi"/>
                <w:color w:val="000000"/>
                <w:sz w:val="18"/>
                <w:szCs w:val="18"/>
                <w:shd w:val="clear" w:color="auto" w:fill="FFFFFF"/>
                <w:lang w:val="en-US" w:eastAsia="en-US"/>
              </w:rPr>
              <w:t xml:space="preserve"> </w:t>
            </w:r>
            <w:r w:rsidRPr="002460E2">
              <w:rPr>
                <w:color w:val="000000"/>
                <w:sz w:val="18"/>
                <w:szCs w:val="18"/>
                <w:lang w:val="en-US" w:eastAsia="ro-MD"/>
              </w:rPr>
              <w:t>alți factori de risc decât </w:t>
            </w:r>
            <w:r w:rsidRPr="002460E2">
              <w:rPr>
                <w:i/>
                <w:iCs/>
                <w:color w:val="000000"/>
                <w:sz w:val="18"/>
                <w:szCs w:val="18"/>
                <w:lang w:val="en-US" w:eastAsia="ro-MD"/>
              </w:rPr>
              <w:t>FX</w:t>
            </w:r>
            <w:r w:rsidRPr="002460E2">
              <w:rPr>
                <w:i/>
                <w:iCs/>
                <w:color w:val="000000"/>
                <w:sz w:val="18"/>
                <w:szCs w:val="18"/>
                <w:vertAlign w:val="subscript"/>
                <w:lang w:val="en-US" w:eastAsia="ro-MD"/>
              </w:rPr>
              <w:t>k</w:t>
            </w:r>
            <w:r w:rsidRPr="002460E2">
              <w:rPr>
                <w:i/>
                <w:iCs/>
                <w:color w:val="000000"/>
                <w:sz w:val="18"/>
                <w:szCs w:val="18"/>
                <w:lang w:val="en-US" w:eastAsia="ro-MD"/>
              </w:rPr>
              <w:t> </w:t>
            </w:r>
            <w:r w:rsidRPr="002460E2">
              <w:rPr>
                <w:color w:val="000000"/>
                <w:sz w:val="18"/>
                <w:szCs w:val="18"/>
                <w:lang w:val="en-US" w:eastAsia="ro-MD"/>
              </w:rPr>
              <w:t>din funcția de evaluare </w:t>
            </w:r>
            <w:r w:rsidRPr="002460E2">
              <w:rPr>
                <w:i/>
                <w:iCs/>
                <w:color w:val="000000"/>
                <w:sz w:val="18"/>
                <w:szCs w:val="18"/>
                <w:lang w:val="en-US" w:eastAsia="ro-MD"/>
              </w:rPr>
              <w:t>V</w:t>
            </w:r>
            <w:r w:rsidRPr="002460E2">
              <w:rPr>
                <w:i/>
                <w:iCs/>
                <w:color w:val="000000"/>
                <w:sz w:val="18"/>
                <w:szCs w:val="18"/>
                <w:vertAlign w:val="subscript"/>
                <w:lang w:val="en-US" w:eastAsia="ro-MD"/>
              </w:rPr>
              <w:t>i</w:t>
            </w:r>
            <w:r w:rsidRPr="002460E2">
              <w:rPr>
                <w:i/>
                <w:iCs/>
                <w:color w:val="000000"/>
                <w:sz w:val="18"/>
                <w:szCs w:val="18"/>
                <w:lang w:val="en-US" w:eastAsia="ro-MD"/>
              </w:rPr>
              <w:t> </w:t>
            </w:r>
            <w:r w:rsidRPr="002460E2">
              <w:rPr>
                <w:color w:val="000000"/>
                <w:sz w:val="18"/>
                <w:szCs w:val="18"/>
                <w:lang w:val="en-US" w:eastAsia="ro-MD"/>
              </w:rPr>
              <w:t>.</w:t>
            </w:r>
          </w:p>
          <w:p w14:paraId="76E2C079" w14:textId="77777777" w:rsidR="008D7F28" w:rsidRPr="002460E2" w:rsidRDefault="008D7F28" w:rsidP="00AE3F89">
            <w:pPr>
              <w:jc w:val="center"/>
              <w:rPr>
                <w:sz w:val="18"/>
                <w:szCs w:val="18"/>
                <w:lang w:val="en-US" w:eastAsia="en-US"/>
              </w:rPr>
            </w:pPr>
          </w:p>
        </w:tc>
        <w:tc>
          <w:tcPr>
            <w:tcW w:w="1229" w:type="dxa"/>
          </w:tcPr>
          <w:p w14:paraId="73FEE0CF" w14:textId="5337CE5D"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5E92D1FA" w14:textId="77777777" w:rsidR="008D7F28" w:rsidRPr="002460E2" w:rsidRDefault="008D7F28" w:rsidP="008D7F28">
            <w:pPr>
              <w:jc w:val="both"/>
              <w:rPr>
                <w:sz w:val="18"/>
                <w:szCs w:val="18"/>
                <w:lang w:val="ro-MD"/>
              </w:rPr>
            </w:pPr>
          </w:p>
        </w:tc>
      </w:tr>
      <w:tr w:rsidR="008D7F28" w:rsidRPr="002460E2" w14:paraId="4BEFC487" w14:textId="77777777" w:rsidTr="003F5B3C">
        <w:trPr>
          <w:trHeight w:val="918"/>
        </w:trPr>
        <w:tc>
          <w:tcPr>
            <w:tcW w:w="4253" w:type="dxa"/>
          </w:tcPr>
          <w:p w14:paraId="32B95A50" w14:textId="0AD23D66" w:rsidR="008D7F28" w:rsidRPr="002460E2" w:rsidRDefault="008D7F28" w:rsidP="008D7F28">
            <w:pPr>
              <w:rPr>
                <w:sz w:val="18"/>
                <w:szCs w:val="18"/>
                <w:lang w:val="en-US"/>
              </w:rPr>
            </w:pPr>
            <w:r w:rsidRPr="002460E2">
              <w:rPr>
                <w:sz w:val="18"/>
                <w:szCs w:val="18"/>
                <w:lang w:val="en-US"/>
              </w:rPr>
              <w:t>(3)   Instituțiile calculează sensibilitățile delta ale CVA agregate la factorii de risc care constau în ratele de marjă de credit ale contrapărții, precum și ale unui instrument de acoperire eligibil la acești factori de risc după cum urmează:</w:t>
            </w:r>
          </w:p>
          <w:p w14:paraId="0BCA6DA2" w14:textId="77777777" w:rsidR="008D7F28" w:rsidRPr="002460E2" w:rsidRDefault="008D7F28" w:rsidP="008D7F28">
            <w:pPr>
              <w:rPr>
                <w:sz w:val="18"/>
                <w:szCs w:val="18"/>
              </w:rPr>
            </w:pPr>
            <w:r w:rsidRPr="002460E2">
              <w:rPr>
                <w:noProof/>
                <w:sz w:val="18"/>
                <w:szCs w:val="18"/>
              </w:rPr>
              <w:lastRenderedPageBreak/>
              <w:drawing>
                <wp:inline distT="0" distB="0" distL="0" distR="0" wp14:anchorId="3AEACD70" wp14:editId="592AF76C">
                  <wp:extent cx="2280687" cy="256784"/>
                  <wp:effectExtent l="0" t="0" r="5715"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2627" cy="286276"/>
                          </a:xfrm>
                          <a:prstGeom prst="rect">
                            <a:avLst/>
                          </a:prstGeom>
                          <a:noFill/>
                          <a:ln>
                            <a:noFill/>
                          </a:ln>
                        </pic:spPr>
                      </pic:pic>
                    </a:graphicData>
                  </a:graphic>
                </wp:inline>
              </w:drawing>
            </w:r>
          </w:p>
          <w:p w14:paraId="6FDC86A9" w14:textId="77777777" w:rsidR="008D7F28" w:rsidRPr="002460E2" w:rsidRDefault="008D7F28" w:rsidP="008D7F28">
            <w:pPr>
              <w:rPr>
                <w:sz w:val="18"/>
                <w:szCs w:val="18"/>
              </w:rPr>
            </w:pPr>
            <w:r w:rsidRPr="002460E2">
              <w:rPr>
                <w:noProof/>
                <w:sz w:val="18"/>
                <w:szCs w:val="18"/>
              </w:rPr>
              <w:drawing>
                <wp:inline distT="0" distB="0" distL="0" distR="0" wp14:anchorId="6601859D" wp14:editId="2B22D2C4">
                  <wp:extent cx="2414488" cy="250521"/>
                  <wp:effectExtent l="0" t="0" r="508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3938" cy="260840"/>
                          </a:xfrm>
                          <a:prstGeom prst="rect">
                            <a:avLst/>
                          </a:prstGeom>
                          <a:noFill/>
                          <a:ln>
                            <a:noFill/>
                          </a:ln>
                        </pic:spPr>
                      </pic:pic>
                    </a:graphicData>
                  </a:graphic>
                </wp:inline>
              </w:drawing>
            </w:r>
          </w:p>
          <w:p w14:paraId="7A27050A"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346"/>
              <w:gridCol w:w="3691"/>
            </w:tblGrid>
            <w:tr w:rsidR="008D7F28" w:rsidRPr="002460E2" w14:paraId="354A7EAE" w14:textId="77777777" w:rsidTr="005E4B33">
              <w:tc>
                <w:tcPr>
                  <w:tcW w:w="779" w:type="dxa"/>
                  <w:shd w:val="clear" w:color="auto" w:fill="auto"/>
                  <w:hideMark/>
                </w:tcPr>
                <w:p w14:paraId="45F95661" w14:textId="77777777" w:rsidR="008D7F28" w:rsidRPr="002460E2" w:rsidRDefault="008D7F28" w:rsidP="008D7F28">
                  <w:pPr>
                    <w:rPr>
                      <w:sz w:val="18"/>
                      <w:szCs w:val="18"/>
                    </w:rPr>
                  </w:pPr>
                  <w:r w:rsidRPr="002460E2">
                    <w:rPr>
                      <w:noProof/>
                      <w:sz w:val="18"/>
                      <w:szCs w:val="18"/>
                    </w:rPr>
                    <w:drawing>
                      <wp:inline distT="0" distB="0" distL="0" distR="0" wp14:anchorId="5396BB8A" wp14:editId="35D6C709">
                        <wp:extent cx="242535" cy="169101"/>
                        <wp:effectExtent l="0" t="0" r="5715" b="254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617" cy="175434"/>
                                </a:xfrm>
                                <a:prstGeom prst="rect">
                                  <a:avLst/>
                                </a:prstGeom>
                                <a:noFill/>
                                <a:ln>
                                  <a:noFill/>
                                </a:ln>
                              </pic:spPr>
                            </pic:pic>
                          </a:graphicData>
                        </a:graphic>
                      </wp:inline>
                    </w:drawing>
                  </w:r>
                </w:p>
              </w:tc>
              <w:tc>
                <w:tcPr>
                  <w:tcW w:w="8576" w:type="dxa"/>
                  <w:shd w:val="clear" w:color="auto" w:fill="auto"/>
                  <w:hideMark/>
                </w:tcPr>
                <w:p w14:paraId="0973A9EC" w14:textId="77777777" w:rsidR="008D7F28" w:rsidRPr="002460E2" w:rsidRDefault="008D7F28" w:rsidP="008D7F28">
                  <w:pPr>
                    <w:rPr>
                      <w:sz w:val="18"/>
                      <w:szCs w:val="18"/>
                      <w:lang w:val="en-US"/>
                    </w:rPr>
                  </w:pPr>
                  <w:r w:rsidRPr="002460E2">
                    <w:rPr>
                      <w:sz w:val="18"/>
                      <w:szCs w:val="18"/>
                      <w:lang w:val="en-US"/>
                    </w:rPr>
                    <w:t>= sensibilitățile CVA agregate la un factor de risc de rată de marjă de credit a contrapărții;</w:t>
                  </w:r>
                </w:p>
              </w:tc>
            </w:tr>
          </w:tbl>
          <w:p w14:paraId="05EA98AE" w14:textId="77777777" w:rsidR="008D7F28" w:rsidRPr="002460E2" w:rsidRDefault="008D7F28" w:rsidP="008D7F28">
            <w:pPr>
              <w:rPr>
                <w:vanish/>
                <w:sz w:val="18"/>
                <w:szCs w:val="18"/>
              </w:rPr>
            </w:pPr>
          </w:p>
          <w:tbl>
            <w:tblPr>
              <w:tblW w:w="5479" w:type="dxa"/>
              <w:tblLayout w:type="fixed"/>
              <w:tblCellMar>
                <w:left w:w="0" w:type="dxa"/>
                <w:right w:w="0" w:type="dxa"/>
              </w:tblCellMar>
              <w:tblLook w:val="04A0" w:firstRow="1" w:lastRow="0" w:firstColumn="1" w:lastColumn="0" w:noHBand="0" w:noVBand="1"/>
            </w:tblPr>
            <w:tblGrid>
              <w:gridCol w:w="277"/>
              <w:gridCol w:w="5202"/>
            </w:tblGrid>
            <w:tr w:rsidR="008D7F28" w:rsidRPr="002460E2" w14:paraId="766D9B7A" w14:textId="77777777" w:rsidTr="00FC3917">
              <w:trPr>
                <w:trHeight w:val="756"/>
              </w:trPr>
              <w:tc>
                <w:tcPr>
                  <w:tcW w:w="277" w:type="dxa"/>
                  <w:shd w:val="clear" w:color="auto" w:fill="auto"/>
                  <w:hideMark/>
                </w:tcPr>
                <w:p w14:paraId="13EFF8EC" w14:textId="77777777" w:rsidR="008D7F28" w:rsidRPr="002460E2" w:rsidRDefault="008D7F28" w:rsidP="008D7F28">
                  <w:pPr>
                    <w:rPr>
                      <w:sz w:val="18"/>
                      <w:szCs w:val="18"/>
                    </w:rPr>
                  </w:pPr>
                  <w:r w:rsidRPr="002460E2">
                    <w:rPr>
                      <w:i/>
                      <w:iCs/>
                      <w:sz w:val="18"/>
                      <w:szCs w:val="18"/>
                    </w:rPr>
                    <w:t>ccs</w:t>
                  </w:r>
                  <w:r w:rsidRPr="002460E2">
                    <w:rPr>
                      <w:i/>
                      <w:iCs/>
                      <w:sz w:val="18"/>
                      <w:szCs w:val="18"/>
                      <w:vertAlign w:val="subscript"/>
                    </w:rPr>
                    <w:t>kt</w:t>
                  </w:r>
                </w:p>
              </w:tc>
              <w:tc>
                <w:tcPr>
                  <w:tcW w:w="5202" w:type="dxa"/>
                  <w:shd w:val="clear" w:color="auto" w:fill="auto"/>
                  <w:hideMark/>
                </w:tcPr>
                <w:p w14:paraId="6CC91F42" w14:textId="77777777" w:rsidR="008D7F28" w:rsidRPr="002460E2" w:rsidRDefault="008D7F28" w:rsidP="008D7F28">
                  <w:pPr>
                    <w:rPr>
                      <w:sz w:val="18"/>
                      <w:szCs w:val="18"/>
                      <w:lang w:val="en-US"/>
                    </w:rPr>
                  </w:pPr>
                  <w:r w:rsidRPr="002460E2">
                    <w:rPr>
                      <w:sz w:val="18"/>
                      <w:szCs w:val="18"/>
                      <w:lang w:val="en-US"/>
                    </w:rPr>
                    <w:t>= valoarea factorului de risc de rată de marjă de credit</w:t>
                  </w:r>
                </w:p>
                <w:p w14:paraId="782D2190" w14:textId="6EFFF78F" w:rsidR="008D7F28" w:rsidRPr="002460E2" w:rsidRDefault="008D7F28" w:rsidP="008D7F28">
                  <w:pPr>
                    <w:rPr>
                      <w:sz w:val="18"/>
                      <w:szCs w:val="18"/>
                      <w:lang w:val="en-US"/>
                    </w:rPr>
                  </w:pPr>
                  <w:r w:rsidRPr="002460E2">
                    <w:rPr>
                      <w:sz w:val="18"/>
                      <w:szCs w:val="18"/>
                      <w:lang w:val="en-US"/>
                    </w:rPr>
                    <w:t xml:space="preserve"> a contrapărții k la scadența t;</w:t>
                  </w:r>
                </w:p>
              </w:tc>
            </w:tr>
          </w:tbl>
          <w:p w14:paraId="65F2956C" w14:textId="77777777" w:rsidR="008D7F28" w:rsidRPr="002460E2" w:rsidRDefault="008D7F28" w:rsidP="008D7F28">
            <w:pPr>
              <w:rPr>
                <w:vanish/>
                <w:sz w:val="18"/>
                <w:szCs w:val="18"/>
              </w:rPr>
            </w:pPr>
          </w:p>
          <w:tbl>
            <w:tblPr>
              <w:tblW w:w="5065" w:type="dxa"/>
              <w:tblLayout w:type="fixed"/>
              <w:tblCellMar>
                <w:left w:w="0" w:type="dxa"/>
                <w:right w:w="0" w:type="dxa"/>
              </w:tblCellMar>
              <w:tblLook w:val="04A0" w:firstRow="1" w:lastRow="0" w:firstColumn="1" w:lastColumn="0" w:noHBand="0" w:noVBand="1"/>
            </w:tblPr>
            <w:tblGrid>
              <w:gridCol w:w="301"/>
              <w:gridCol w:w="4764"/>
            </w:tblGrid>
            <w:tr w:rsidR="008D7F28" w:rsidRPr="002460E2" w14:paraId="17AA856F" w14:textId="77777777" w:rsidTr="00FC3917">
              <w:trPr>
                <w:trHeight w:val="444"/>
              </w:trPr>
              <w:tc>
                <w:tcPr>
                  <w:tcW w:w="301" w:type="dxa"/>
                  <w:shd w:val="clear" w:color="auto" w:fill="auto"/>
                  <w:hideMark/>
                </w:tcPr>
                <w:p w14:paraId="265B450D"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4764" w:type="dxa"/>
                  <w:shd w:val="clear" w:color="auto" w:fill="auto"/>
                  <w:hideMark/>
                </w:tcPr>
                <w:p w14:paraId="5DF4EDDF" w14:textId="77777777" w:rsidR="008D7F28" w:rsidRPr="002460E2" w:rsidRDefault="008D7F28" w:rsidP="008D7F28">
                  <w:pPr>
                    <w:rPr>
                      <w:sz w:val="18"/>
                      <w:szCs w:val="18"/>
                      <w:lang w:val="en-US"/>
                    </w:rPr>
                  </w:pPr>
                  <w:r w:rsidRPr="002460E2">
                    <w:rPr>
                      <w:sz w:val="18"/>
                      <w:szCs w:val="18"/>
                      <w:lang w:val="en-US"/>
                    </w:rPr>
                    <w:t xml:space="preserve">= CVA agregată calculată pe baza modelului de CVA </w:t>
                  </w:r>
                </w:p>
                <w:p w14:paraId="1674BE05" w14:textId="7AC11FFC" w:rsidR="008D7F28" w:rsidRPr="002460E2" w:rsidRDefault="008D7F28" w:rsidP="008D7F28">
                  <w:pPr>
                    <w:rPr>
                      <w:sz w:val="18"/>
                      <w:szCs w:val="18"/>
                      <w:lang w:val="en-US"/>
                    </w:rPr>
                  </w:pPr>
                  <w:r w:rsidRPr="002460E2">
                    <w:rPr>
                      <w:sz w:val="18"/>
                      <w:szCs w:val="18"/>
                      <w:lang w:val="en-US"/>
                    </w:rPr>
                    <w:t>reglementară;</w:t>
                  </w:r>
                </w:p>
              </w:tc>
            </w:tr>
          </w:tbl>
          <w:p w14:paraId="03CDAEF9"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86"/>
              <w:gridCol w:w="3751"/>
            </w:tblGrid>
            <w:tr w:rsidR="008D7F28" w:rsidRPr="002460E2" w14:paraId="11F6CBB5" w14:textId="77777777" w:rsidTr="005E4B33">
              <w:tc>
                <w:tcPr>
                  <w:tcW w:w="640" w:type="dxa"/>
                  <w:shd w:val="clear" w:color="auto" w:fill="auto"/>
                  <w:hideMark/>
                </w:tcPr>
                <w:p w14:paraId="04BE2A0D" w14:textId="77777777" w:rsidR="008D7F28" w:rsidRPr="002460E2" w:rsidRDefault="008D7F28" w:rsidP="008D7F28">
                  <w:pPr>
                    <w:rPr>
                      <w:sz w:val="18"/>
                      <w:szCs w:val="18"/>
                    </w:rPr>
                  </w:pPr>
                  <w:r w:rsidRPr="002460E2">
                    <w:rPr>
                      <w:i/>
                      <w:iCs/>
                      <w:sz w:val="18"/>
                      <w:szCs w:val="18"/>
                    </w:rPr>
                    <w:t>x,y</w:t>
                  </w:r>
                </w:p>
              </w:tc>
              <w:tc>
                <w:tcPr>
                  <w:tcW w:w="8715" w:type="dxa"/>
                  <w:shd w:val="clear" w:color="auto" w:fill="auto"/>
                  <w:hideMark/>
                </w:tcPr>
                <w:p w14:paraId="0E5FF2EB"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ccs</w:t>
                  </w:r>
                  <w:r w:rsidRPr="002460E2">
                    <w:rPr>
                      <w:i/>
                      <w:iCs/>
                      <w:sz w:val="18"/>
                      <w:szCs w:val="18"/>
                      <w:vertAlign w:val="subscript"/>
                      <w:lang w:val="en-US"/>
                    </w:rPr>
                    <w:t>kt</w:t>
                  </w:r>
                  <w:r w:rsidRPr="002460E2">
                    <w:rPr>
                      <w:i/>
                      <w:iCs/>
                      <w:sz w:val="18"/>
                      <w:szCs w:val="18"/>
                      <w:lang w:val="en-US"/>
                    </w:rPr>
                    <w:t> </w:t>
                  </w:r>
                  <w:r w:rsidRPr="002460E2">
                    <w:rPr>
                      <w:sz w:val="18"/>
                      <w:szCs w:val="18"/>
                      <w:lang w:val="en-US"/>
                    </w:rPr>
                    <w:t>în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43F1AA48"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593"/>
              <w:gridCol w:w="3444"/>
            </w:tblGrid>
            <w:tr w:rsidR="008D7F28" w:rsidRPr="002460E2" w14:paraId="5174BFD7" w14:textId="77777777" w:rsidTr="005E4B33">
              <w:tc>
                <w:tcPr>
                  <w:tcW w:w="1356" w:type="dxa"/>
                  <w:shd w:val="clear" w:color="auto" w:fill="auto"/>
                  <w:hideMark/>
                </w:tcPr>
                <w:p w14:paraId="291E6998" w14:textId="77777777" w:rsidR="008D7F28" w:rsidRPr="002460E2" w:rsidRDefault="008D7F28" w:rsidP="008D7F28">
                  <w:pPr>
                    <w:rPr>
                      <w:sz w:val="18"/>
                      <w:szCs w:val="18"/>
                    </w:rPr>
                  </w:pPr>
                  <w:r w:rsidRPr="002460E2">
                    <w:rPr>
                      <w:noProof/>
                      <w:sz w:val="18"/>
                      <w:szCs w:val="18"/>
                    </w:rPr>
                    <w:drawing>
                      <wp:inline distT="0" distB="0" distL="0" distR="0" wp14:anchorId="60F9E74C" wp14:editId="309DEE96">
                        <wp:extent cx="338354" cy="125261"/>
                        <wp:effectExtent l="0" t="0" r="5080" b="8255"/>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2731" cy="130583"/>
                                </a:xfrm>
                                <a:prstGeom prst="rect">
                                  <a:avLst/>
                                </a:prstGeom>
                                <a:noFill/>
                                <a:ln>
                                  <a:noFill/>
                                </a:ln>
                              </pic:spPr>
                            </pic:pic>
                          </a:graphicData>
                        </a:graphic>
                      </wp:inline>
                    </w:drawing>
                  </w:r>
                </w:p>
              </w:tc>
              <w:tc>
                <w:tcPr>
                  <w:tcW w:w="7999" w:type="dxa"/>
                  <w:shd w:val="clear" w:color="auto" w:fill="auto"/>
                  <w:hideMark/>
                </w:tcPr>
                <w:p w14:paraId="0EC5B31B"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rată de marjă de credit a contrapărții;</w:t>
                  </w:r>
                </w:p>
              </w:tc>
            </w:tr>
          </w:tbl>
          <w:p w14:paraId="06F07B51"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28093590" w14:textId="77777777" w:rsidTr="005E4B33">
              <w:tc>
                <w:tcPr>
                  <w:tcW w:w="370" w:type="dxa"/>
                  <w:shd w:val="clear" w:color="auto" w:fill="auto"/>
                  <w:hideMark/>
                </w:tcPr>
                <w:p w14:paraId="52B78E98"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66E63196"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0458A8A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26"/>
              <w:gridCol w:w="3811"/>
            </w:tblGrid>
            <w:tr w:rsidR="008D7F28" w:rsidRPr="002460E2" w14:paraId="46F4DDB9" w14:textId="77777777" w:rsidTr="005E4B33">
              <w:tc>
                <w:tcPr>
                  <w:tcW w:w="501" w:type="dxa"/>
                  <w:shd w:val="clear" w:color="auto" w:fill="auto"/>
                  <w:hideMark/>
                </w:tcPr>
                <w:p w14:paraId="584A2817" w14:textId="77777777" w:rsidR="008D7F28" w:rsidRPr="002460E2" w:rsidRDefault="008D7F28" w:rsidP="008D7F28">
                  <w:pPr>
                    <w:rPr>
                      <w:sz w:val="18"/>
                      <w:szCs w:val="18"/>
                    </w:rPr>
                  </w:pPr>
                  <w:r w:rsidRPr="002460E2">
                    <w:rPr>
                      <w:i/>
                      <w:iCs/>
                      <w:sz w:val="18"/>
                      <w:szCs w:val="18"/>
                    </w:rPr>
                    <w:t>w,z</w:t>
                  </w:r>
                </w:p>
              </w:tc>
              <w:tc>
                <w:tcPr>
                  <w:tcW w:w="8854" w:type="dxa"/>
                  <w:shd w:val="clear" w:color="auto" w:fill="auto"/>
                  <w:hideMark/>
                </w:tcPr>
                <w:p w14:paraId="2FF0E102" w14:textId="5719490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ccs</w:t>
                  </w:r>
                  <w:r w:rsidRPr="002460E2">
                    <w:rPr>
                      <w:i/>
                      <w:iCs/>
                      <w:sz w:val="18"/>
                      <w:szCs w:val="18"/>
                      <w:vertAlign w:val="subscript"/>
                      <w:lang w:val="en-US"/>
                    </w:rPr>
                    <w:t>kt</w:t>
                  </w:r>
                  <w:r w:rsidRPr="002460E2">
                    <w:rPr>
                      <w:i/>
                      <w:iCs/>
                      <w:sz w:val="18"/>
                      <w:szCs w:val="18"/>
                      <w:lang w:val="en-US"/>
                    </w:rPr>
                    <w:t> </w:t>
                  </w:r>
                  <w:r w:rsidRPr="002460E2">
                    <w:rPr>
                      <w:sz w:val="18"/>
                      <w:szCs w:val="18"/>
                      <w:lang w:val="en-US"/>
                    </w:rPr>
                    <w:t>din funcția de evaluare </w:t>
                  </w:r>
                  <w:r w:rsidRPr="002460E2">
                    <w:rPr>
                      <w:i/>
                      <w:iCs/>
                      <w:sz w:val="18"/>
                      <w:szCs w:val="18"/>
                      <w:lang w:val="en-US"/>
                    </w:rPr>
                    <w:t>V</w:t>
                  </w:r>
                  <w:r w:rsidRPr="002460E2">
                    <w:rPr>
                      <w:i/>
                      <w:iCs/>
                      <w:sz w:val="18"/>
                      <w:szCs w:val="18"/>
                      <w:vertAlign w:val="subscript"/>
                      <w:lang w:val="en-US"/>
                    </w:rPr>
                    <w:t>i</w:t>
                  </w:r>
                  <w:r w:rsidRPr="002460E2">
                    <w:rPr>
                      <w:sz w:val="18"/>
                      <w:szCs w:val="18"/>
                      <w:lang w:val="en-US"/>
                    </w:rPr>
                    <w:t>.</w:t>
                  </w:r>
                </w:p>
              </w:tc>
            </w:tr>
          </w:tbl>
          <w:p w14:paraId="1E6F9C82" w14:textId="3FE13198" w:rsidR="008D7F28" w:rsidRPr="002460E2" w:rsidRDefault="008D7F28" w:rsidP="008D7F28">
            <w:pPr>
              <w:pStyle w:val="title-article-norm"/>
              <w:jc w:val="left"/>
              <w:rPr>
                <w:i w:val="0"/>
                <w:sz w:val="18"/>
                <w:szCs w:val="18"/>
              </w:rPr>
            </w:pPr>
          </w:p>
        </w:tc>
        <w:tc>
          <w:tcPr>
            <w:tcW w:w="3685" w:type="dxa"/>
            <w:shd w:val="clear" w:color="auto" w:fill="auto"/>
          </w:tcPr>
          <w:p w14:paraId="51A358DB" w14:textId="0C231324" w:rsidR="00C168FA" w:rsidRPr="002460E2" w:rsidRDefault="00FB32FD" w:rsidP="00C168FA">
            <w:pPr>
              <w:tabs>
                <w:tab w:val="left" w:pos="993"/>
                <w:tab w:val="left" w:pos="1134"/>
              </w:tabs>
              <w:contextualSpacing/>
              <w:jc w:val="both"/>
              <w:rPr>
                <w:sz w:val="18"/>
                <w:szCs w:val="18"/>
                <w:lang w:val="ro-MD" w:eastAsia="en-US"/>
              </w:rPr>
            </w:pPr>
            <w:r w:rsidRPr="002460E2">
              <w:rPr>
                <w:sz w:val="18"/>
                <w:szCs w:val="18"/>
                <w:lang w:val="ro-MD" w:eastAsia="en-US"/>
              </w:rPr>
              <w:lastRenderedPageBreak/>
              <w:t>65</w:t>
            </w:r>
            <w:r w:rsidR="00C168FA" w:rsidRPr="002460E2">
              <w:rPr>
                <w:sz w:val="18"/>
                <w:szCs w:val="18"/>
                <w:lang w:val="ro-MD" w:eastAsia="en-US"/>
              </w:rPr>
              <w:t>.</w:t>
            </w:r>
            <w:r w:rsidR="00C168FA" w:rsidRPr="002460E2">
              <w:rPr>
                <w:b/>
                <w:bCs/>
                <w:sz w:val="18"/>
                <w:szCs w:val="18"/>
                <w:lang w:val="ro-MD" w:eastAsia="en-US"/>
              </w:rPr>
              <w:t xml:space="preserve"> </w:t>
            </w:r>
            <w:r w:rsidR="00C168FA" w:rsidRPr="002460E2">
              <w:rPr>
                <w:b/>
                <w:bCs/>
                <w:vanish/>
                <w:sz w:val="18"/>
                <w:szCs w:val="18"/>
                <w:lang w:val="ro-MD" w:eastAsia="en-US"/>
              </w:rPr>
              <w:t xml:space="preserve">6759  </w:t>
            </w:r>
            <w:r w:rsidR="00C168FA" w:rsidRPr="002460E2">
              <w:rPr>
                <w:sz w:val="18"/>
                <w:szCs w:val="18"/>
                <w:lang w:val="ro-MD" w:eastAsia="en-US"/>
              </w:rPr>
              <w:t>Băncile calculează sensibilitățile delta ale CVA agregate la factorii de risc care constau în ratele de marjă de credit ale contrapărții, precum și ale unui instrument de acoperire eligibil la acești factori de risc după cum urmează:</w:t>
            </w:r>
          </w:p>
          <w:p w14:paraId="0294A5CD" w14:textId="77777777" w:rsidR="00C168FA" w:rsidRPr="002460E2" w:rsidRDefault="00C168FA" w:rsidP="00C168FA">
            <w:pPr>
              <w:tabs>
                <w:tab w:val="left" w:pos="993"/>
                <w:tab w:val="left" w:pos="1134"/>
              </w:tabs>
              <w:ind w:left="720"/>
              <w:contextualSpacing/>
              <w:jc w:val="both"/>
              <w:rPr>
                <w:sz w:val="18"/>
                <w:szCs w:val="18"/>
                <w:lang w:val="ro-MD" w:eastAsia="en-US"/>
              </w:rPr>
            </w:pPr>
            <w:r w:rsidRPr="002460E2">
              <w:rPr>
                <w:noProof/>
                <w:sz w:val="18"/>
                <w:szCs w:val="18"/>
                <w:lang w:val="ro-MD" w:eastAsia="en-US"/>
              </w:rPr>
              <w:lastRenderedPageBreak/>
              <w:drawing>
                <wp:inline distT="0" distB="0" distL="0" distR="0" wp14:anchorId="5B7BA156" wp14:editId="3BD6769D">
                  <wp:extent cx="1641575" cy="184826"/>
                  <wp:effectExtent l="0" t="0" r="0" b="5715"/>
                  <wp:docPr id="117" name="Pictur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4774" cy="195319"/>
                          </a:xfrm>
                          <a:prstGeom prst="rect">
                            <a:avLst/>
                          </a:prstGeom>
                          <a:noFill/>
                          <a:ln>
                            <a:noFill/>
                          </a:ln>
                        </pic:spPr>
                      </pic:pic>
                    </a:graphicData>
                  </a:graphic>
                </wp:inline>
              </w:drawing>
            </w:r>
          </w:p>
          <w:p w14:paraId="1BA94D97" w14:textId="77777777" w:rsidR="00C168FA" w:rsidRPr="002460E2" w:rsidRDefault="00C168FA" w:rsidP="00C168FA">
            <w:pPr>
              <w:tabs>
                <w:tab w:val="left" w:pos="993"/>
                <w:tab w:val="left" w:pos="1134"/>
              </w:tabs>
              <w:ind w:left="720"/>
              <w:contextualSpacing/>
              <w:jc w:val="both"/>
              <w:rPr>
                <w:sz w:val="18"/>
                <w:szCs w:val="18"/>
                <w:lang w:val="ro-MD" w:eastAsia="en-US"/>
              </w:rPr>
            </w:pPr>
            <w:r w:rsidRPr="002460E2">
              <w:rPr>
                <w:noProof/>
                <w:sz w:val="18"/>
                <w:szCs w:val="18"/>
                <w:lang w:val="ro-MD" w:eastAsia="en-US"/>
              </w:rPr>
              <w:drawing>
                <wp:inline distT="0" distB="0" distL="0" distR="0" wp14:anchorId="7F715D45" wp14:editId="5287B924">
                  <wp:extent cx="1641475" cy="170315"/>
                  <wp:effectExtent l="0" t="0" r="0" b="1270"/>
                  <wp:docPr id="118" name="Pictur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9912" cy="174303"/>
                          </a:xfrm>
                          <a:prstGeom prst="rect">
                            <a:avLst/>
                          </a:prstGeom>
                          <a:noFill/>
                          <a:ln>
                            <a:noFill/>
                          </a:ln>
                        </pic:spPr>
                      </pic:pic>
                    </a:graphicData>
                  </a:graphic>
                </wp:inline>
              </w:drawing>
            </w:r>
          </w:p>
          <w:p w14:paraId="49126277" w14:textId="77777777" w:rsidR="00C168FA" w:rsidRPr="002460E2" w:rsidRDefault="00C168FA" w:rsidP="00C168FA">
            <w:pPr>
              <w:tabs>
                <w:tab w:val="left" w:pos="993"/>
                <w:tab w:val="left" w:pos="1134"/>
              </w:tabs>
              <w:jc w:val="both"/>
              <w:rPr>
                <w:sz w:val="18"/>
                <w:szCs w:val="18"/>
                <w:lang w:val="ro-MD" w:eastAsia="en-US"/>
              </w:rPr>
            </w:pPr>
            <w:r w:rsidRPr="002460E2">
              <w:rPr>
                <w:sz w:val="18"/>
                <w:szCs w:val="18"/>
                <w:lang w:val="ro-MD" w:eastAsia="en-US"/>
              </w:rPr>
              <w:t>unde:</w:t>
            </w:r>
          </w:p>
          <w:p w14:paraId="61583A15" w14:textId="77777777" w:rsidR="00C168FA" w:rsidRPr="002460E2" w:rsidRDefault="00C168FA" w:rsidP="00C168FA">
            <w:pPr>
              <w:tabs>
                <w:tab w:val="left" w:pos="993"/>
                <w:tab w:val="left" w:pos="1134"/>
              </w:tabs>
              <w:jc w:val="both"/>
              <w:rPr>
                <w:sz w:val="18"/>
                <w:szCs w:val="18"/>
                <w:lang w:val="ro-MD" w:eastAsia="en-US"/>
              </w:rPr>
            </w:pPr>
            <w:r w:rsidRPr="002460E2">
              <w:rPr>
                <w:noProof/>
                <w:sz w:val="18"/>
                <w:szCs w:val="18"/>
                <w:lang w:val="en-US" w:eastAsia="en-US"/>
              </w:rPr>
              <w:drawing>
                <wp:inline distT="0" distB="0" distL="0" distR="0" wp14:anchorId="0E23E905" wp14:editId="12AF29E7">
                  <wp:extent cx="357505" cy="254635"/>
                  <wp:effectExtent l="0" t="0" r="0" b="0"/>
                  <wp:docPr id="119" name="Pictur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7505" cy="254635"/>
                          </a:xfrm>
                          <a:prstGeom prst="rect">
                            <a:avLst/>
                          </a:prstGeom>
                          <a:noFill/>
                          <a:ln>
                            <a:noFill/>
                          </a:ln>
                        </pic:spPr>
                      </pic:pic>
                    </a:graphicData>
                  </a:graphic>
                </wp:inline>
              </w:drawing>
            </w:r>
            <w:r w:rsidRPr="002460E2">
              <w:rPr>
                <w:sz w:val="18"/>
                <w:szCs w:val="18"/>
                <w:lang w:val="ro-MD" w:eastAsia="en-US"/>
              </w:rPr>
              <w:t xml:space="preserve"> =  sensibilitățile CVA agregate la un factor de risc de rată de marjă de credit a contrapărții;</w:t>
            </w:r>
          </w:p>
          <w:p w14:paraId="10B92314" w14:textId="77777777" w:rsidR="00C168FA" w:rsidRPr="002460E2" w:rsidRDefault="00C168FA" w:rsidP="00C168FA">
            <w:pPr>
              <w:tabs>
                <w:tab w:val="left" w:pos="993"/>
                <w:tab w:val="left" w:pos="1134"/>
              </w:tabs>
              <w:jc w:val="both"/>
              <w:rPr>
                <w:sz w:val="18"/>
                <w:szCs w:val="18"/>
                <w:lang w:val="ro-MD" w:eastAsia="en-US"/>
              </w:rPr>
            </w:pPr>
            <w:r w:rsidRPr="002460E2">
              <w:rPr>
                <w:i/>
                <w:iCs/>
                <w:sz w:val="18"/>
                <w:szCs w:val="18"/>
                <w:lang w:val="en-US" w:eastAsia="en-US"/>
              </w:rPr>
              <w:t>ccs</w:t>
            </w:r>
            <w:r w:rsidRPr="002460E2">
              <w:rPr>
                <w:i/>
                <w:iCs/>
                <w:sz w:val="18"/>
                <w:szCs w:val="18"/>
                <w:vertAlign w:val="subscript"/>
                <w:lang w:val="en-US" w:eastAsia="en-US"/>
              </w:rPr>
              <w:t xml:space="preserve">kt = </w:t>
            </w:r>
            <w:r w:rsidRPr="002460E2">
              <w:rPr>
                <w:sz w:val="18"/>
                <w:szCs w:val="18"/>
                <w:lang w:val="ro-MD" w:eastAsia="en-US"/>
              </w:rPr>
              <w:t>valoarea factorului de risc de rată de marjă de credit a contrapărții k la scadența t;</w:t>
            </w:r>
          </w:p>
          <w:p w14:paraId="29837BE0" w14:textId="77777777" w:rsidR="00C168FA" w:rsidRPr="002460E2" w:rsidRDefault="00C168FA" w:rsidP="00C168FA">
            <w:pPr>
              <w:tabs>
                <w:tab w:val="left" w:pos="993"/>
                <w:tab w:val="left" w:pos="1134"/>
              </w:tabs>
              <w:jc w:val="both"/>
              <w:rPr>
                <w:sz w:val="18"/>
                <w:szCs w:val="18"/>
                <w:lang w:val="ro-MD" w:eastAsia="en-US"/>
              </w:rPr>
            </w:pPr>
            <w:r w:rsidRPr="002460E2">
              <w:rPr>
                <w:rFonts w:eastAsiaTheme="minorHAnsi"/>
                <w:i/>
                <w:iCs/>
                <w:color w:val="000000"/>
                <w:sz w:val="18"/>
                <w:szCs w:val="18"/>
                <w:shd w:val="clear" w:color="auto" w:fill="FFFFFF"/>
                <w:lang w:val="en-US" w:eastAsia="en-US"/>
              </w:rPr>
              <w:t>V</w:t>
            </w:r>
            <w:r w:rsidRPr="002460E2">
              <w:rPr>
                <w:rFonts w:eastAsiaTheme="minorHAnsi"/>
                <w:i/>
                <w:iCs/>
                <w:color w:val="000000"/>
                <w:sz w:val="18"/>
                <w:szCs w:val="18"/>
                <w:shd w:val="clear" w:color="auto" w:fill="FFFFFF"/>
                <w:vertAlign w:val="subscript"/>
                <w:lang w:val="en-US" w:eastAsia="en-US"/>
              </w:rPr>
              <w:t xml:space="preserve">CVA </w:t>
            </w:r>
            <w:r w:rsidRPr="002460E2">
              <w:rPr>
                <w:rFonts w:eastAsiaTheme="minorHAnsi"/>
                <w:color w:val="000000"/>
                <w:sz w:val="18"/>
                <w:szCs w:val="18"/>
                <w:shd w:val="clear" w:color="auto" w:fill="FFFFFF"/>
                <w:lang w:val="en-US" w:eastAsia="en-US"/>
              </w:rPr>
              <w:t xml:space="preserve">= </w:t>
            </w:r>
            <w:r w:rsidRPr="002460E2">
              <w:rPr>
                <w:sz w:val="18"/>
                <w:szCs w:val="18"/>
                <w:lang w:val="ro-MD" w:eastAsia="en-US"/>
              </w:rPr>
              <w:t>CVA agregată calculată pe baza modelului de CVA reglementară;</w:t>
            </w:r>
          </w:p>
          <w:p w14:paraId="34341066" w14:textId="77777777" w:rsidR="00C168FA" w:rsidRPr="002460E2" w:rsidRDefault="00C168FA" w:rsidP="00C168FA">
            <w:pPr>
              <w:tabs>
                <w:tab w:val="left" w:pos="993"/>
                <w:tab w:val="left" w:pos="1134"/>
              </w:tabs>
              <w:jc w:val="both"/>
              <w:rPr>
                <w:sz w:val="18"/>
                <w:szCs w:val="18"/>
                <w:lang w:val="ro-MD" w:eastAsia="en-US"/>
              </w:rPr>
            </w:pPr>
            <w:r w:rsidRPr="002460E2">
              <w:rPr>
                <w:i/>
                <w:iCs/>
                <w:sz w:val="18"/>
                <w:szCs w:val="18"/>
                <w:lang w:val="ro-MD" w:eastAsia="en-US"/>
              </w:rPr>
              <w:t>x,y</w:t>
            </w:r>
            <w:r w:rsidRPr="002460E2">
              <w:rPr>
                <w:sz w:val="18"/>
                <w:szCs w:val="18"/>
                <w:lang w:val="ro-MD" w:eastAsia="en-US"/>
              </w:rPr>
              <w:t xml:space="preserve"> = alți factori de risc decât </w:t>
            </w:r>
            <w:r w:rsidRPr="002460E2">
              <w:rPr>
                <w:i/>
                <w:iCs/>
                <w:sz w:val="18"/>
                <w:szCs w:val="18"/>
                <w:lang w:val="ro-MD" w:eastAsia="en-US"/>
              </w:rPr>
              <w:t>ccs</w:t>
            </w:r>
            <w:r w:rsidRPr="002460E2">
              <w:rPr>
                <w:i/>
                <w:iCs/>
                <w:sz w:val="18"/>
                <w:szCs w:val="18"/>
                <w:vertAlign w:val="subscript"/>
                <w:lang w:val="ro-MD" w:eastAsia="en-US"/>
              </w:rPr>
              <w:t>kt</w:t>
            </w:r>
            <w:r w:rsidRPr="002460E2">
              <w:rPr>
                <w:i/>
                <w:iCs/>
                <w:sz w:val="18"/>
                <w:szCs w:val="18"/>
                <w:lang w:val="ro-MD" w:eastAsia="en-US"/>
              </w:rPr>
              <w:t> </w:t>
            </w:r>
            <w:r w:rsidRPr="002460E2">
              <w:rPr>
                <w:sz w:val="18"/>
                <w:szCs w:val="18"/>
                <w:lang w:val="ro-MD" w:eastAsia="en-US"/>
              </w:rPr>
              <w:t>în </w:t>
            </w:r>
            <w:r w:rsidRPr="002460E2">
              <w:rPr>
                <w:i/>
                <w:iCs/>
                <w:sz w:val="18"/>
                <w:szCs w:val="18"/>
                <w:lang w:val="ro-MD" w:eastAsia="en-US"/>
              </w:rPr>
              <w:t>V</w:t>
            </w:r>
            <w:r w:rsidRPr="002460E2">
              <w:rPr>
                <w:i/>
                <w:iCs/>
                <w:sz w:val="18"/>
                <w:szCs w:val="18"/>
                <w:vertAlign w:val="subscript"/>
                <w:lang w:val="ro-MD" w:eastAsia="en-US"/>
              </w:rPr>
              <w:t>CVA</w:t>
            </w:r>
            <w:r w:rsidRPr="002460E2">
              <w:rPr>
                <w:sz w:val="18"/>
                <w:szCs w:val="18"/>
                <w:lang w:val="ro-MD" w:eastAsia="en-US"/>
              </w:rPr>
              <w:t>;</w:t>
            </w:r>
          </w:p>
          <w:p w14:paraId="4C65F298" w14:textId="77777777" w:rsidR="00C168FA" w:rsidRPr="002460E2" w:rsidRDefault="00C168FA" w:rsidP="00C168FA">
            <w:pPr>
              <w:tabs>
                <w:tab w:val="left" w:pos="993"/>
                <w:tab w:val="left" w:pos="1134"/>
              </w:tabs>
              <w:jc w:val="both"/>
              <w:rPr>
                <w:sz w:val="18"/>
                <w:szCs w:val="18"/>
                <w:lang w:val="ro-MD" w:eastAsia="en-US"/>
              </w:rPr>
            </w:pPr>
            <w:r w:rsidRPr="002460E2">
              <w:rPr>
                <w:rFonts w:eastAsiaTheme="minorHAnsi"/>
                <w:noProof/>
                <w:sz w:val="18"/>
                <w:szCs w:val="18"/>
                <w:lang w:val="en-US" w:eastAsia="en-US"/>
              </w:rPr>
              <w:drawing>
                <wp:inline distT="0" distB="0" distL="0" distR="0" wp14:anchorId="64E74886" wp14:editId="17D63312">
                  <wp:extent cx="683895" cy="254635"/>
                  <wp:effectExtent l="0" t="0" r="0" b="0"/>
                  <wp:docPr id="120" name="Pictur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sz w:val="18"/>
                <w:szCs w:val="18"/>
                <w:lang w:val="ro-MD" w:eastAsia="en-US"/>
              </w:rPr>
              <w:t>= sensibilitățile acoperirii eligibile i la un factor de risc de rată de marjă de credit a contrapărții;</w:t>
            </w:r>
          </w:p>
          <w:p w14:paraId="7E188D61" w14:textId="77777777" w:rsidR="00C168FA" w:rsidRPr="002460E2" w:rsidRDefault="00C168FA" w:rsidP="00C168FA">
            <w:pPr>
              <w:tabs>
                <w:tab w:val="left" w:pos="993"/>
                <w:tab w:val="left" w:pos="1134"/>
              </w:tabs>
              <w:jc w:val="both"/>
              <w:rPr>
                <w:sz w:val="18"/>
                <w:szCs w:val="18"/>
                <w:lang w:val="ro-MD" w:eastAsia="en-US"/>
              </w:rPr>
            </w:pPr>
            <w:r w:rsidRPr="002460E2">
              <w:rPr>
                <w:rFonts w:eastAsiaTheme="minorHAnsi"/>
                <w:i/>
                <w:iCs/>
                <w:color w:val="000000"/>
                <w:sz w:val="18"/>
                <w:szCs w:val="18"/>
                <w:shd w:val="clear" w:color="auto" w:fill="FFFFFF"/>
                <w:lang w:val="en-US" w:eastAsia="en-US"/>
              </w:rPr>
              <w:t>V</w:t>
            </w:r>
            <w:r w:rsidRPr="002460E2">
              <w:rPr>
                <w:rFonts w:eastAsiaTheme="minorHAnsi"/>
                <w:i/>
                <w:iCs/>
                <w:color w:val="000000"/>
                <w:sz w:val="18"/>
                <w:szCs w:val="18"/>
                <w:shd w:val="clear" w:color="auto" w:fill="FFFFFF"/>
                <w:vertAlign w:val="subscript"/>
                <w:lang w:val="en-US" w:eastAsia="en-US"/>
              </w:rPr>
              <w:t xml:space="preserve">i </w:t>
            </w:r>
            <w:r w:rsidRPr="002460E2">
              <w:rPr>
                <w:rFonts w:eastAsiaTheme="minorHAnsi"/>
                <w:color w:val="000000"/>
                <w:sz w:val="18"/>
                <w:szCs w:val="18"/>
                <w:shd w:val="clear" w:color="auto" w:fill="FFFFFF"/>
                <w:lang w:val="en-US" w:eastAsia="en-US"/>
              </w:rPr>
              <w:t xml:space="preserve">= </w:t>
            </w:r>
            <w:r w:rsidRPr="002460E2">
              <w:rPr>
                <w:sz w:val="18"/>
                <w:szCs w:val="18"/>
                <w:lang w:val="ro-MD" w:eastAsia="en-US"/>
              </w:rPr>
              <w:t>funcția de evaluare a acoperirii eligibile i;</w:t>
            </w:r>
          </w:p>
          <w:p w14:paraId="0EF4AC1E" w14:textId="77777777" w:rsidR="00C168FA" w:rsidRPr="002460E2" w:rsidRDefault="00C168FA" w:rsidP="00C168FA">
            <w:pPr>
              <w:tabs>
                <w:tab w:val="left" w:pos="993"/>
                <w:tab w:val="left" w:pos="1134"/>
              </w:tabs>
              <w:jc w:val="both"/>
              <w:rPr>
                <w:rFonts w:eastAsiaTheme="minorHAnsi"/>
                <w:color w:val="000000"/>
                <w:sz w:val="18"/>
                <w:szCs w:val="18"/>
                <w:shd w:val="clear" w:color="auto" w:fill="FFFFFF"/>
                <w:lang w:val="en-US" w:eastAsia="en-US"/>
              </w:rPr>
            </w:pPr>
            <w:r w:rsidRPr="002460E2">
              <w:rPr>
                <w:sz w:val="18"/>
                <w:szCs w:val="18"/>
                <w:lang w:val="ro-MD" w:eastAsia="en-US"/>
              </w:rPr>
              <w:t xml:space="preserve">w, z = </w:t>
            </w:r>
            <w:r w:rsidRPr="002460E2">
              <w:rPr>
                <w:rFonts w:eastAsiaTheme="minorHAnsi"/>
                <w:color w:val="000000"/>
                <w:sz w:val="18"/>
                <w:szCs w:val="18"/>
                <w:shd w:val="clear" w:color="auto" w:fill="FFFFFF"/>
                <w:lang w:val="en-US" w:eastAsia="en-US"/>
              </w:rPr>
              <w:t>alți factori de risc decât </w:t>
            </w:r>
            <w:r w:rsidRPr="002460E2">
              <w:rPr>
                <w:rFonts w:eastAsiaTheme="minorHAnsi"/>
                <w:i/>
                <w:iCs/>
                <w:color w:val="000000"/>
                <w:sz w:val="18"/>
                <w:szCs w:val="18"/>
                <w:shd w:val="clear" w:color="auto" w:fill="FFFFFF"/>
                <w:lang w:val="en-US" w:eastAsia="en-US"/>
              </w:rPr>
              <w:t>ccs</w:t>
            </w:r>
            <w:r w:rsidRPr="002460E2">
              <w:rPr>
                <w:rFonts w:eastAsiaTheme="minorHAnsi"/>
                <w:i/>
                <w:iCs/>
                <w:color w:val="000000"/>
                <w:sz w:val="18"/>
                <w:szCs w:val="18"/>
                <w:shd w:val="clear" w:color="auto" w:fill="FFFFFF"/>
                <w:vertAlign w:val="subscript"/>
                <w:lang w:val="en-US" w:eastAsia="en-US"/>
              </w:rPr>
              <w:t>kt</w:t>
            </w:r>
            <w:r w:rsidRPr="002460E2">
              <w:rPr>
                <w:rFonts w:eastAsiaTheme="minorHAnsi"/>
                <w:i/>
                <w:iCs/>
                <w:color w:val="000000"/>
                <w:sz w:val="18"/>
                <w:szCs w:val="18"/>
                <w:shd w:val="clear" w:color="auto" w:fill="FFFFFF"/>
                <w:lang w:val="en-US" w:eastAsia="en-US"/>
              </w:rPr>
              <w:t> </w:t>
            </w:r>
            <w:r w:rsidRPr="002460E2">
              <w:rPr>
                <w:rFonts w:eastAsiaTheme="minorHAnsi"/>
                <w:color w:val="000000"/>
                <w:sz w:val="18"/>
                <w:szCs w:val="18"/>
                <w:shd w:val="clear" w:color="auto" w:fill="FFFFFF"/>
                <w:lang w:val="en-US" w:eastAsia="en-US"/>
              </w:rPr>
              <w:t>din funcția de evaluare </w:t>
            </w:r>
            <w:r w:rsidRPr="002460E2">
              <w:rPr>
                <w:rFonts w:eastAsiaTheme="minorHAnsi"/>
                <w:i/>
                <w:iCs/>
                <w:color w:val="000000"/>
                <w:sz w:val="18"/>
                <w:szCs w:val="18"/>
                <w:shd w:val="clear" w:color="auto" w:fill="FFFFFF"/>
                <w:lang w:val="en-US" w:eastAsia="en-US"/>
              </w:rPr>
              <w:t>V</w:t>
            </w:r>
            <w:r w:rsidRPr="002460E2">
              <w:rPr>
                <w:rFonts w:eastAsiaTheme="minorHAnsi"/>
                <w:i/>
                <w:iCs/>
                <w:color w:val="000000"/>
                <w:sz w:val="18"/>
                <w:szCs w:val="18"/>
                <w:shd w:val="clear" w:color="auto" w:fill="FFFFFF"/>
                <w:vertAlign w:val="subscript"/>
                <w:lang w:val="en-US" w:eastAsia="en-US"/>
              </w:rPr>
              <w:t>i</w:t>
            </w:r>
            <w:r w:rsidRPr="002460E2">
              <w:rPr>
                <w:rFonts w:eastAsiaTheme="minorHAnsi"/>
                <w:i/>
                <w:iCs/>
                <w:color w:val="000000"/>
                <w:sz w:val="18"/>
                <w:szCs w:val="18"/>
                <w:shd w:val="clear" w:color="auto" w:fill="FFFFFF"/>
                <w:lang w:val="en-US" w:eastAsia="en-US"/>
              </w:rPr>
              <w:t> </w:t>
            </w:r>
            <w:r w:rsidRPr="002460E2">
              <w:rPr>
                <w:rFonts w:eastAsiaTheme="minorHAnsi"/>
                <w:color w:val="000000"/>
                <w:sz w:val="18"/>
                <w:szCs w:val="18"/>
                <w:shd w:val="clear" w:color="auto" w:fill="FFFFFF"/>
                <w:lang w:val="en-US" w:eastAsia="en-US"/>
              </w:rPr>
              <w:t>.</w:t>
            </w:r>
          </w:p>
          <w:p w14:paraId="3AD3D9CE" w14:textId="77777777" w:rsidR="008D7F28" w:rsidRPr="002460E2" w:rsidRDefault="008D7F28" w:rsidP="00C168FA">
            <w:pPr>
              <w:jc w:val="center"/>
              <w:rPr>
                <w:b/>
                <w:bCs/>
                <w:sz w:val="18"/>
                <w:szCs w:val="18"/>
                <w:lang w:val="en-US" w:eastAsia="en-US"/>
              </w:rPr>
            </w:pPr>
          </w:p>
        </w:tc>
        <w:tc>
          <w:tcPr>
            <w:tcW w:w="1229" w:type="dxa"/>
          </w:tcPr>
          <w:p w14:paraId="6C577E9D" w14:textId="28D91798"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09F55EC3" w14:textId="77777777" w:rsidR="008D7F28" w:rsidRPr="002460E2" w:rsidRDefault="008D7F28" w:rsidP="008D7F28">
            <w:pPr>
              <w:jc w:val="both"/>
              <w:rPr>
                <w:sz w:val="18"/>
                <w:szCs w:val="18"/>
                <w:lang w:val="ro-MD"/>
              </w:rPr>
            </w:pPr>
          </w:p>
        </w:tc>
      </w:tr>
      <w:tr w:rsidR="008D7F28" w:rsidRPr="002460E2" w14:paraId="707986A4" w14:textId="77777777" w:rsidTr="003F5B3C">
        <w:trPr>
          <w:trHeight w:val="918"/>
        </w:trPr>
        <w:tc>
          <w:tcPr>
            <w:tcW w:w="4253" w:type="dxa"/>
          </w:tcPr>
          <w:p w14:paraId="1815E624" w14:textId="53812F9B" w:rsidR="008D7F28" w:rsidRPr="002460E2" w:rsidRDefault="008D7F28" w:rsidP="008D7F28">
            <w:pPr>
              <w:rPr>
                <w:sz w:val="18"/>
                <w:szCs w:val="18"/>
                <w:lang w:val="en-US"/>
              </w:rPr>
            </w:pPr>
            <w:r w:rsidRPr="002460E2">
              <w:rPr>
                <w:sz w:val="18"/>
                <w:szCs w:val="18"/>
                <w:lang w:val="en-US"/>
              </w:rPr>
              <w:t>(4) Instituțiile calculează sensibilitățile delta ale CVA agregate la factorii de risc care constau în ratele de marjă de credit de referință, precum și ale unui instrument de acoperire eligibil la acești factori de risc după cum urmează:</w:t>
            </w:r>
          </w:p>
          <w:p w14:paraId="1B2AA2A9" w14:textId="77777777" w:rsidR="008D7F28" w:rsidRPr="002460E2" w:rsidRDefault="008D7F28" w:rsidP="008D7F28">
            <w:pPr>
              <w:rPr>
                <w:sz w:val="18"/>
                <w:szCs w:val="18"/>
              </w:rPr>
            </w:pPr>
            <w:r w:rsidRPr="002460E2">
              <w:rPr>
                <w:noProof/>
                <w:sz w:val="18"/>
                <w:szCs w:val="18"/>
              </w:rPr>
              <w:drawing>
                <wp:inline distT="0" distB="0" distL="0" distR="0" wp14:anchorId="78854B6E" wp14:editId="63E987BB">
                  <wp:extent cx="2391940" cy="269310"/>
                  <wp:effectExtent l="0" t="0" r="889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3564" cy="271745"/>
                          </a:xfrm>
                          <a:prstGeom prst="rect">
                            <a:avLst/>
                          </a:prstGeom>
                          <a:noFill/>
                          <a:ln>
                            <a:noFill/>
                          </a:ln>
                        </pic:spPr>
                      </pic:pic>
                    </a:graphicData>
                  </a:graphic>
                </wp:inline>
              </w:drawing>
            </w:r>
          </w:p>
          <w:p w14:paraId="4DAEEDFB" w14:textId="77777777" w:rsidR="008D7F28" w:rsidRPr="002460E2" w:rsidRDefault="008D7F28" w:rsidP="008D7F28">
            <w:pPr>
              <w:rPr>
                <w:sz w:val="18"/>
                <w:szCs w:val="18"/>
              </w:rPr>
            </w:pPr>
            <w:r w:rsidRPr="002460E2">
              <w:rPr>
                <w:noProof/>
                <w:sz w:val="18"/>
                <w:szCs w:val="18"/>
              </w:rPr>
              <w:drawing>
                <wp:inline distT="0" distB="0" distL="0" distR="0" wp14:anchorId="512CE38B" wp14:editId="7CFBD363">
                  <wp:extent cx="2414478" cy="250520"/>
                  <wp:effectExtent l="0" t="0" r="508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3135" cy="265944"/>
                          </a:xfrm>
                          <a:prstGeom prst="rect">
                            <a:avLst/>
                          </a:prstGeom>
                          <a:noFill/>
                          <a:ln>
                            <a:noFill/>
                          </a:ln>
                        </pic:spPr>
                      </pic:pic>
                    </a:graphicData>
                  </a:graphic>
                </wp:inline>
              </w:drawing>
            </w:r>
          </w:p>
          <w:p w14:paraId="4AECA60D"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352"/>
              <w:gridCol w:w="3685"/>
            </w:tblGrid>
            <w:tr w:rsidR="008D7F28" w:rsidRPr="002460E2" w14:paraId="63E6D767" w14:textId="77777777" w:rsidTr="005E4B33">
              <w:tc>
                <w:tcPr>
                  <w:tcW w:w="793" w:type="dxa"/>
                  <w:shd w:val="clear" w:color="auto" w:fill="auto"/>
                  <w:hideMark/>
                </w:tcPr>
                <w:p w14:paraId="73AB21D4" w14:textId="77777777" w:rsidR="008D7F28" w:rsidRPr="002460E2" w:rsidRDefault="008D7F28" w:rsidP="008D7F28">
                  <w:pPr>
                    <w:rPr>
                      <w:sz w:val="18"/>
                      <w:szCs w:val="18"/>
                    </w:rPr>
                  </w:pPr>
                  <w:r w:rsidRPr="002460E2">
                    <w:rPr>
                      <w:noProof/>
                      <w:sz w:val="18"/>
                      <w:szCs w:val="18"/>
                    </w:rPr>
                    <w:drawing>
                      <wp:inline distT="0" distB="0" distL="0" distR="0" wp14:anchorId="31641869" wp14:editId="4CAD304D">
                        <wp:extent cx="212942" cy="128652"/>
                        <wp:effectExtent l="0" t="0" r="0" b="508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622" cy="132688"/>
                                </a:xfrm>
                                <a:prstGeom prst="rect">
                                  <a:avLst/>
                                </a:prstGeom>
                                <a:noFill/>
                                <a:ln>
                                  <a:noFill/>
                                </a:ln>
                              </pic:spPr>
                            </pic:pic>
                          </a:graphicData>
                        </a:graphic>
                      </wp:inline>
                    </w:drawing>
                  </w:r>
                </w:p>
              </w:tc>
              <w:tc>
                <w:tcPr>
                  <w:tcW w:w="8562" w:type="dxa"/>
                  <w:shd w:val="clear" w:color="auto" w:fill="auto"/>
                  <w:hideMark/>
                </w:tcPr>
                <w:p w14:paraId="073DAB72" w14:textId="77777777" w:rsidR="008D7F28" w:rsidRPr="002460E2" w:rsidRDefault="008D7F28" w:rsidP="008D7F28">
                  <w:pPr>
                    <w:rPr>
                      <w:sz w:val="18"/>
                      <w:szCs w:val="18"/>
                      <w:lang w:val="en-US"/>
                    </w:rPr>
                  </w:pPr>
                  <w:r w:rsidRPr="002460E2">
                    <w:rPr>
                      <w:sz w:val="18"/>
                      <w:szCs w:val="18"/>
                      <w:lang w:val="en-US"/>
                    </w:rPr>
                    <w:t>= sensibilitățile CVA agregate la un factor de risc de rată de marjă de credit de referință;</w:t>
                  </w:r>
                </w:p>
              </w:tc>
            </w:tr>
          </w:tbl>
          <w:p w14:paraId="29E283F4" w14:textId="77777777" w:rsidR="008D7F28" w:rsidRPr="002460E2" w:rsidRDefault="008D7F28" w:rsidP="008D7F28">
            <w:pPr>
              <w:rPr>
                <w:vanish/>
                <w:sz w:val="18"/>
                <w:szCs w:val="18"/>
              </w:rPr>
            </w:pPr>
          </w:p>
          <w:tbl>
            <w:tblPr>
              <w:tblW w:w="5767" w:type="dxa"/>
              <w:tblLayout w:type="fixed"/>
              <w:tblCellMar>
                <w:left w:w="0" w:type="dxa"/>
                <w:right w:w="0" w:type="dxa"/>
              </w:tblCellMar>
              <w:tblLook w:val="04A0" w:firstRow="1" w:lastRow="0" w:firstColumn="1" w:lastColumn="0" w:noHBand="0" w:noVBand="1"/>
            </w:tblPr>
            <w:tblGrid>
              <w:gridCol w:w="288"/>
              <w:gridCol w:w="5479"/>
            </w:tblGrid>
            <w:tr w:rsidR="008D7F28" w:rsidRPr="002460E2" w14:paraId="336B46A9" w14:textId="77777777" w:rsidTr="00FF6294">
              <w:trPr>
                <w:trHeight w:val="565"/>
              </w:trPr>
              <w:tc>
                <w:tcPr>
                  <w:tcW w:w="288" w:type="dxa"/>
                  <w:shd w:val="clear" w:color="auto" w:fill="auto"/>
                  <w:hideMark/>
                </w:tcPr>
                <w:p w14:paraId="71ECF2F1" w14:textId="77777777" w:rsidR="008D7F28" w:rsidRPr="002460E2" w:rsidRDefault="008D7F28" w:rsidP="008D7F28">
                  <w:pPr>
                    <w:rPr>
                      <w:sz w:val="18"/>
                      <w:szCs w:val="18"/>
                    </w:rPr>
                  </w:pPr>
                  <w:r w:rsidRPr="002460E2">
                    <w:rPr>
                      <w:i/>
                      <w:iCs/>
                      <w:sz w:val="18"/>
                      <w:szCs w:val="18"/>
                    </w:rPr>
                    <w:t>rcs</w:t>
                  </w:r>
                  <w:r w:rsidRPr="002460E2">
                    <w:rPr>
                      <w:i/>
                      <w:iCs/>
                      <w:sz w:val="18"/>
                      <w:szCs w:val="18"/>
                      <w:vertAlign w:val="subscript"/>
                    </w:rPr>
                    <w:t>kt</w:t>
                  </w:r>
                </w:p>
              </w:tc>
              <w:tc>
                <w:tcPr>
                  <w:tcW w:w="5479" w:type="dxa"/>
                  <w:shd w:val="clear" w:color="auto" w:fill="auto"/>
                  <w:hideMark/>
                </w:tcPr>
                <w:p w14:paraId="027C35D5" w14:textId="77777777" w:rsidR="008D7F28" w:rsidRPr="002460E2" w:rsidRDefault="008D7F28" w:rsidP="008D7F28">
                  <w:pPr>
                    <w:rPr>
                      <w:sz w:val="18"/>
                      <w:szCs w:val="18"/>
                      <w:lang w:val="en-US"/>
                    </w:rPr>
                  </w:pPr>
                  <w:r w:rsidRPr="002460E2">
                    <w:rPr>
                      <w:sz w:val="18"/>
                      <w:szCs w:val="18"/>
                      <w:lang w:val="en-US"/>
                    </w:rPr>
                    <w:t>= valoarea factorului de risc de rată de marjă de credit</w:t>
                  </w:r>
                </w:p>
                <w:p w14:paraId="2A30F672" w14:textId="7229DBF5" w:rsidR="008D7F28" w:rsidRPr="002460E2" w:rsidRDefault="008D7F28" w:rsidP="008D7F28">
                  <w:pPr>
                    <w:rPr>
                      <w:sz w:val="18"/>
                      <w:szCs w:val="18"/>
                      <w:lang w:val="en-US"/>
                    </w:rPr>
                  </w:pPr>
                  <w:r w:rsidRPr="002460E2">
                    <w:rPr>
                      <w:sz w:val="18"/>
                      <w:szCs w:val="18"/>
                      <w:lang w:val="en-US"/>
                    </w:rPr>
                    <w:t>de referință k la scadența t;</w:t>
                  </w:r>
                </w:p>
              </w:tc>
            </w:tr>
          </w:tbl>
          <w:p w14:paraId="358293AB" w14:textId="77777777" w:rsidR="008D7F28" w:rsidRPr="002460E2" w:rsidRDefault="008D7F28" w:rsidP="008D7F28">
            <w:pPr>
              <w:rPr>
                <w:vanish/>
                <w:sz w:val="18"/>
                <w:szCs w:val="18"/>
              </w:rPr>
            </w:pPr>
          </w:p>
          <w:tbl>
            <w:tblPr>
              <w:tblW w:w="5133" w:type="dxa"/>
              <w:tblLayout w:type="fixed"/>
              <w:tblCellMar>
                <w:left w:w="0" w:type="dxa"/>
                <w:right w:w="0" w:type="dxa"/>
              </w:tblCellMar>
              <w:tblLook w:val="04A0" w:firstRow="1" w:lastRow="0" w:firstColumn="1" w:lastColumn="0" w:noHBand="0" w:noVBand="1"/>
            </w:tblPr>
            <w:tblGrid>
              <w:gridCol w:w="305"/>
              <w:gridCol w:w="4828"/>
            </w:tblGrid>
            <w:tr w:rsidR="008D7F28" w:rsidRPr="002460E2" w14:paraId="60597F4A" w14:textId="77777777" w:rsidTr="00FF6294">
              <w:trPr>
                <w:trHeight w:val="505"/>
              </w:trPr>
              <w:tc>
                <w:tcPr>
                  <w:tcW w:w="305" w:type="dxa"/>
                  <w:shd w:val="clear" w:color="auto" w:fill="auto"/>
                  <w:hideMark/>
                </w:tcPr>
                <w:p w14:paraId="6D67CB87" w14:textId="77777777" w:rsidR="008D7F28" w:rsidRPr="002460E2" w:rsidRDefault="008D7F28" w:rsidP="008D7F28">
                  <w:pPr>
                    <w:rPr>
                      <w:sz w:val="18"/>
                      <w:szCs w:val="18"/>
                    </w:rPr>
                  </w:pPr>
                  <w:r w:rsidRPr="002460E2">
                    <w:rPr>
                      <w:i/>
                      <w:iCs/>
                      <w:sz w:val="18"/>
                      <w:szCs w:val="18"/>
                    </w:rPr>
                    <w:lastRenderedPageBreak/>
                    <w:t>V</w:t>
                  </w:r>
                  <w:r w:rsidRPr="002460E2">
                    <w:rPr>
                      <w:i/>
                      <w:iCs/>
                      <w:sz w:val="18"/>
                      <w:szCs w:val="18"/>
                      <w:vertAlign w:val="subscript"/>
                    </w:rPr>
                    <w:t>CVA</w:t>
                  </w:r>
                </w:p>
              </w:tc>
              <w:tc>
                <w:tcPr>
                  <w:tcW w:w="4828" w:type="dxa"/>
                  <w:shd w:val="clear" w:color="auto" w:fill="auto"/>
                  <w:hideMark/>
                </w:tcPr>
                <w:p w14:paraId="48119396"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41F7F407" w14:textId="4AE82CF5" w:rsidR="008D7F28" w:rsidRPr="002460E2" w:rsidRDefault="008D7F28" w:rsidP="008D7F28">
                  <w:pPr>
                    <w:rPr>
                      <w:sz w:val="18"/>
                      <w:szCs w:val="18"/>
                      <w:lang w:val="en-US"/>
                    </w:rPr>
                  </w:pPr>
                  <w:r w:rsidRPr="002460E2">
                    <w:rPr>
                      <w:sz w:val="18"/>
                      <w:szCs w:val="18"/>
                      <w:lang w:val="en-US"/>
                    </w:rPr>
                    <w:t xml:space="preserve"> reglementară;</w:t>
                  </w:r>
                </w:p>
              </w:tc>
            </w:tr>
          </w:tbl>
          <w:p w14:paraId="64753669"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86"/>
              <w:gridCol w:w="3751"/>
            </w:tblGrid>
            <w:tr w:rsidR="008D7F28" w:rsidRPr="002460E2" w14:paraId="285F3419" w14:textId="77777777" w:rsidTr="005E4B33">
              <w:tc>
                <w:tcPr>
                  <w:tcW w:w="640" w:type="dxa"/>
                  <w:shd w:val="clear" w:color="auto" w:fill="auto"/>
                  <w:hideMark/>
                </w:tcPr>
                <w:p w14:paraId="7FB555FF" w14:textId="77777777" w:rsidR="008D7F28" w:rsidRPr="002460E2" w:rsidRDefault="008D7F28" w:rsidP="008D7F28">
                  <w:pPr>
                    <w:rPr>
                      <w:sz w:val="18"/>
                      <w:szCs w:val="18"/>
                    </w:rPr>
                  </w:pPr>
                  <w:r w:rsidRPr="002460E2">
                    <w:rPr>
                      <w:i/>
                      <w:iCs/>
                      <w:sz w:val="18"/>
                      <w:szCs w:val="18"/>
                    </w:rPr>
                    <w:t>x,y</w:t>
                  </w:r>
                </w:p>
              </w:tc>
              <w:tc>
                <w:tcPr>
                  <w:tcW w:w="8715" w:type="dxa"/>
                  <w:shd w:val="clear" w:color="auto" w:fill="auto"/>
                  <w:hideMark/>
                </w:tcPr>
                <w:p w14:paraId="6AB12181"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ccs</w:t>
                  </w:r>
                  <w:r w:rsidRPr="002460E2">
                    <w:rPr>
                      <w:i/>
                      <w:iCs/>
                      <w:sz w:val="18"/>
                      <w:szCs w:val="18"/>
                      <w:vertAlign w:val="subscript"/>
                      <w:lang w:val="en-US"/>
                    </w:rPr>
                    <w:t>kt</w:t>
                  </w:r>
                  <w:r w:rsidRPr="002460E2">
                    <w:rPr>
                      <w:i/>
                      <w:iCs/>
                      <w:sz w:val="18"/>
                      <w:szCs w:val="18"/>
                      <w:lang w:val="en-US"/>
                    </w:rPr>
                    <w:t> </w:t>
                  </w:r>
                  <w:r w:rsidRPr="002460E2">
                    <w:rPr>
                      <w:sz w:val="18"/>
                      <w:szCs w:val="18"/>
                      <w:lang w:val="en-US"/>
                    </w:rPr>
                    <w:t>în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675E5B9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593"/>
              <w:gridCol w:w="3444"/>
            </w:tblGrid>
            <w:tr w:rsidR="008D7F28" w:rsidRPr="002460E2" w14:paraId="777AA1FA" w14:textId="77777777" w:rsidTr="005E4B33">
              <w:tc>
                <w:tcPr>
                  <w:tcW w:w="1356" w:type="dxa"/>
                  <w:shd w:val="clear" w:color="auto" w:fill="auto"/>
                  <w:hideMark/>
                </w:tcPr>
                <w:p w14:paraId="29EC14F5" w14:textId="77777777" w:rsidR="008D7F28" w:rsidRPr="002460E2" w:rsidRDefault="008D7F28" w:rsidP="008D7F28">
                  <w:pPr>
                    <w:rPr>
                      <w:sz w:val="18"/>
                      <w:szCs w:val="18"/>
                    </w:rPr>
                  </w:pPr>
                  <w:r w:rsidRPr="002460E2">
                    <w:rPr>
                      <w:noProof/>
                      <w:sz w:val="18"/>
                      <w:szCs w:val="18"/>
                    </w:rPr>
                    <w:drawing>
                      <wp:inline distT="0" distB="0" distL="0" distR="0" wp14:anchorId="44445949" wp14:editId="028EF019">
                        <wp:extent cx="355269" cy="131523"/>
                        <wp:effectExtent l="0" t="0" r="6985" b="190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271" cy="142260"/>
                                </a:xfrm>
                                <a:prstGeom prst="rect">
                                  <a:avLst/>
                                </a:prstGeom>
                                <a:noFill/>
                                <a:ln>
                                  <a:noFill/>
                                </a:ln>
                              </pic:spPr>
                            </pic:pic>
                          </a:graphicData>
                        </a:graphic>
                      </wp:inline>
                    </w:drawing>
                  </w:r>
                </w:p>
              </w:tc>
              <w:tc>
                <w:tcPr>
                  <w:tcW w:w="7999" w:type="dxa"/>
                  <w:shd w:val="clear" w:color="auto" w:fill="auto"/>
                  <w:hideMark/>
                </w:tcPr>
                <w:p w14:paraId="60ECCCD3"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rată de marjă de credit de referință;</w:t>
                  </w:r>
                </w:p>
              </w:tc>
            </w:tr>
          </w:tbl>
          <w:p w14:paraId="36A4E02B"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218A7DEB" w14:textId="77777777" w:rsidTr="005E4B33">
              <w:tc>
                <w:tcPr>
                  <w:tcW w:w="370" w:type="dxa"/>
                  <w:shd w:val="clear" w:color="auto" w:fill="auto"/>
                  <w:hideMark/>
                </w:tcPr>
                <w:p w14:paraId="6E389E45"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0D1CB64E"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590D60F5"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26"/>
              <w:gridCol w:w="3811"/>
            </w:tblGrid>
            <w:tr w:rsidR="008D7F28" w:rsidRPr="002460E2" w14:paraId="05F73A54" w14:textId="77777777" w:rsidTr="005E4B33">
              <w:tc>
                <w:tcPr>
                  <w:tcW w:w="501" w:type="dxa"/>
                  <w:shd w:val="clear" w:color="auto" w:fill="auto"/>
                  <w:hideMark/>
                </w:tcPr>
                <w:p w14:paraId="714D86DF" w14:textId="77777777" w:rsidR="008D7F28" w:rsidRPr="002460E2" w:rsidRDefault="008D7F28" w:rsidP="008D7F28">
                  <w:pPr>
                    <w:rPr>
                      <w:sz w:val="18"/>
                      <w:szCs w:val="18"/>
                    </w:rPr>
                  </w:pPr>
                  <w:r w:rsidRPr="002460E2">
                    <w:rPr>
                      <w:i/>
                      <w:iCs/>
                      <w:sz w:val="18"/>
                      <w:szCs w:val="18"/>
                    </w:rPr>
                    <w:t>w,z</w:t>
                  </w:r>
                </w:p>
              </w:tc>
              <w:tc>
                <w:tcPr>
                  <w:tcW w:w="8854" w:type="dxa"/>
                  <w:shd w:val="clear" w:color="auto" w:fill="auto"/>
                  <w:hideMark/>
                </w:tcPr>
                <w:p w14:paraId="463BFA1E"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ccs</w:t>
                  </w:r>
                  <w:r w:rsidRPr="002460E2">
                    <w:rPr>
                      <w:i/>
                      <w:iCs/>
                      <w:sz w:val="18"/>
                      <w:szCs w:val="18"/>
                      <w:vertAlign w:val="subscript"/>
                      <w:lang w:val="en-US"/>
                    </w:rPr>
                    <w:t>kt</w:t>
                  </w:r>
                  <w:r w:rsidRPr="002460E2">
                    <w:rPr>
                      <w:i/>
                      <w:iCs/>
                      <w:sz w:val="18"/>
                      <w:szCs w:val="18"/>
                      <w:lang w:val="en-US"/>
                    </w:rPr>
                    <w:t> </w:t>
                  </w:r>
                  <w:r w:rsidRPr="002460E2">
                    <w:rPr>
                      <w:sz w:val="18"/>
                      <w:szCs w:val="18"/>
                      <w:lang w:val="en-US"/>
                    </w:rPr>
                    <w:t>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25169CFB" w14:textId="35902D67" w:rsidR="008D7F28" w:rsidRPr="002460E2" w:rsidRDefault="008D7F28" w:rsidP="008D7F28">
            <w:pPr>
              <w:autoSpaceDE w:val="0"/>
              <w:autoSpaceDN w:val="0"/>
              <w:adjustRightInd w:val="0"/>
              <w:spacing w:before="60" w:after="60"/>
              <w:rPr>
                <w:rFonts w:eastAsiaTheme="minorHAnsi"/>
                <w:i/>
                <w:iCs/>
                <w:color w:val="000000"/>
                <w:sz w:val="18"/>
                <w:szCs w:val="18"/>
                <w:lang w:val="ro-MD" w:eastAsia="en-US"/>
              </w:rPr>
            </w:pPr>
          </w:p>
        </w:tc>
        <w:tc>
          <w:tcPr>
            <w:tcW w:w="3685" w:type="dxa"/>
            <w:shd w:val="clear" w:color="auto" w:fill="auto"/>
          </w:tcPr>
          <w:p w14:paraId="5F89127B" w14:textId="3043F7EA" w:rsidR="00C168FA" w:rsidRPr="002460E2" w:rsidRDefault="00FB32FD" w:rsidP="00C168FA">
            <w:pPr>
              <w:rPr>
                <w:b/>
                <w:bCs/>
                <w:vanish/>
                <w:sz w:val="18"/>
                <w:szCs w:val="18"/>
                <w:lang w:val="ro-MD" w:eastAsia="en-US"/>
              </w:rPr>
            </w:pPr>
            <w:r w:rsidRPr="002460E2">
              <w:rPr>
                <w:sz w:val="18"/>
                <w:szCs w:val="18"/>
                <w:lang w:val="en-US" w:eastAsia="en-US"/>
              </w:rPr>
              <w:lastRenderedPageBreak/>
              <w:t>66</w:t>
            </w:r>
            <w:r w:rsidR="00C168FA" w:rsidRPr="002460E2">
              <w:rPr>
                <w:sz w:val="18"/>
                <w:szCs w:val="18"/>
                <w:lang w:val="en-US" w:eastAsia="en-US"/>
              </w:rPr>
              <w:t>.</w:t>
            </w:r>
            <w:r w:rsidR="00C168FA" w:rsidRPr="002460E2">
              <w:rPr>
                <w:b/>
                <w:bCs/>
                <w:sz w:val="18"/>
                <w:szCs w:val="18"/>
                <w:lang w:val="en-US" w:eastAsia="en-US"/>
              </w:rPr>
              <w:t xml:space="preserve"> </w:t>
            </w:r>
          </w:p>
          <w:p w14:paraId="2896F2BE" w14:textId="77777777" w:rsidR="00C168FA" w:rsidRPr="002460E2" w:rsidRDefault="00C168FA" w:rsidP="00C168FA">
            <w:pPr>
              <w:rPr>
                <w:b/>
                <w:bCs/>
                <w:vanish/>
                <w:sz w:val="18"/>
                <w:szCs w:val="18"/>
                <w:lang w:val="ro-MD" w:eastAsia="en-US"/>
              </w:rPr>
            </w:pPr>
          </w:p>
          <w:p w14:paraId="41EB38BE" w14:textId="77777777" w:rsidR="00C168FA" w:rsidRPr="002460E2" w:rsidRDefault="00C168FA" w:rsidP="00C168FA">
            <w:pPr>
              <w:rPr>
                <w:bCs/>
                <w:sz w:val="18"/>
                <w:szCs w:val="18"/>
                <w:lang w:val="ro-MD" w:eastAsia="en-US"/>
              </w:rPr>
            </w:pPr>
            <w:r w:rsidRPr="002460E2">
              <w:rPr>
                <w:b/>
                <w:bCs/>
                <w:sz w:val="18"/>
                <w:szCs w:val="18"/>
                <w:lang w:val="ro-MD" w:eastAsia="en-US"/>
              </w:rPr>
              <w:t xml:space="preserve"> </w:t>
            </w:r>
            <w:r w:rsidRPr="002460E2">
              <w:rPr>
                <w:bCs/>
                <w:sz w:val="18"/>
                <w:szCs w:val="18"/>
                <w:lang w:val="ro-MD" w:eastAsia="en-US"/>
              </w:rPr>
              <w:t>Băncile calculează sensibilitățile delta ale CVA agregate la factorii de risc care constau în ratele de marjă de credit de referință, precum și ale unui instrument de acoperire eligibil la acești factori de risc după cum urmează:</w:t>
            </w:r>
          </w:p>
          <w:p w14:paraId="77ECA311" w14:textId="77777777" w:rsidR="00C168FA" w:rsidRPr="002460E2" w:rsidRDefault="00C168FA" w:rsidP="00C168FA">
            <w:pPr>
              <w:rPr>
                <w:bCs/>
                <w:sz w:val="18"/>
                <w:szCs w:val="18"/>
                <w:lang w:val="ro-MD" w:eastAsia="en-US"/>
              </w:rPr>
            </w:pPr>
            <w:r w:rsidRPr="002460E2">
              <w:rPr>
                <w:bCs/>
                <w:noProof/>
                <w:sz w:val="18"/>
                <w:szCs w:val="18"/>
                <w:lang w:val="ro-MD" w:eastAsia="en-US"/>
              </w:rPr>
              <w:drawing>
                <wp:inline distT="0" distB="0" distL="0" distR="0" wp14:anchorId="3401E3B7" wp14:editId="4FCBA50D">
                  <wp:extent cx="2073565" cy="233464"/>
                  <wp:effectExtent l="0" t="0" r="3175" b="0"/>
                  <wp:docPr id="121"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2596" cy="263754"/>
                          </a:xfrm>
                          <a:prstGeom prst="rect">
                            <a:avLst/>
                          </a:prstGeom>
                          <a:noFill/>
                          <a:ln>
                            <a:noFill/>
                          </a:ln>
                        </pic:spPr>
                      </pic:pic>
                    </a:graphicData>
                  </a:graphic>
                </wp:inline>
              </w:drawing>
            </w:r>
          </w:p>
          <w:p w14:paraId="4C38BF68" w14:textId="77777777" w:rsidR="00C168FA" w:rsidRPr="002460E2" w:rsidRDefault="00C168FA" w:rsidP="00C168FA">
            <w:pPr>
              <w:rPr>
                <w:bCs/>
                <w:sz w:val="18"/>
                <w:szCs w:val="18"/>
                <w:lang w:val="ro-MD" w:eastAsia="en-US"/>
              </w:rPr>
            </w:pPr>
            <w:r w:rsidRPr="002460E2">
              <w:rPr>
                <w:bCs/>
                <w:noProof/>
                <w:sz w:val="18"/>
                <w:szCs w:val="18"/>
                <w:lang w:val="ro-MD" w:eastAsia="en-US"/>
              </w:rPr>
              <w:drawing>
                <wp:inline distT="0" distB="0" distL="0" distR="0" wp14:anchorId="081753A7" wp14:editId="355D059D">
                  <wp:extent cx="2052536" cy="212966"/>
                  <wp:effectExtent l="0" t="0" r="5080" b="0"/>
                  <wp:docPr id="122" name="Pictur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7698" cy="218689"/>
                          </a:xfrm>
                          <a:prstGeom prst="rect">
                            <a:avLst/>
                          </a:prstGeom>
                          <a:noFill/>
                          <a:ln>
                            <a:noFill/>
                          </a:ln>
                        </pic:spPr>
                      </pic:pic>
                    </a:graphicData>
                  </a:graphic>
                </wp:inline>
              </w:drawing>
            </w:r>
          </w:p>
          <w:p w14:paraId="3813D8EA" w14:textId="77777777" w:rsidR="00C168FA" w:rsidRPr="002460E2" w:rsidRDefault="00C168FA" w:rsidP="00C168FA">
            <w:pPr>
              <w:rPr>
                <w:bCs/>
                <w:sz w:val="18"/>
                <w:szCs w:val="18"/>
                <w:lang w:val="ro-MD" w:eastAsia="en-US"/>
              </w:rPr>
            </w:pPr>
            <w:r w:rsidRPr="002460E2">
              <w:rPr>
                <w:bCs/>
                <w:sz w:val="18"/>
                <w:szCs w:val="18"/>
                <w:lang w:val="ro-MD" w:eastAsia="en-US"/>
              </w:rPr>
              <w:t>unde:</w:t>
            </w:r>
          </w:p>
          <w:p w14:paraId="6C756491" w14:textId="77777777" w:rsidR="00C168FA" w:rsidRPr="002460E2" w:rsidRDefault="00C168FA" w:rsidP="00C168FA">
            <w:pPr>
              <w:rPr>
                <w:bCs/>
                <w:sz w:val="18"/>
                <w:szCs w:val="18"/>
                <w:lang w:val="ro-MD" w:eastAsia="en-US"/>
              </w:rPr>
            </w:pPr>
            <w:r w:rsidRPr="002460E2">
              <w:rPr>
                <w:bCs/>
                <w:noProof/>
                <w:sz w:val="18"/>
                <w:szCs w:val="18"/>
                <w:lang w:val="en-US" w:eastAsia="en-US"/>
              </w:rPr>
              <w:drawing>
                <wp:inline distT="0" distB="0" distL="0" distR="0" wp14:anchorId="100E64B9" wp14:editId="133AB8E5">
                  <wp:extent cx="357505" cy="254635"/>
                  <wp:effectExtent l="0" t="0" r="0"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7505" cy="254635"/>
                          </a:xfrm>
                          <a:prstGeom prst="rect">
                            <a:avLst/>
                          </a:prstGeom>
                          <a:noFill/>
                          <a:ln>
                            <a:noFill/>
                          </a:ln>
                        </pic:spPr>
                      </pic:pic>
                    </a:graphicData>
                  </a:graphic>
                </wp:inline>
              </w:drawing>
            </w:r>
            <w:r w:rsidRPr="002460E2">
              <w:rPr>
                <w:bCs/>
                <w:sz w:val="18"/>
                <w:szCs w:val="18"/>
                <w:lang w:val="ro-MD" w:eastAsia="en-US"/>
              </w:rPr>
              <w:t xml:space="preserve"> = sensibilitățile CVA agregate la un factor de risc de rată de marjă de credit de referință;</w:t>
            </w:r>
          </w:p>
          <w:p w14:paraId="6EA00D87" w14:textId="77777777" w:rsidR="00C168FA" w:rsidRPr="002460E2" w:rsidRDefault="00C168FA" w:rsidP="00C168FA">
            <w:pPr>
              <w:rPr>
                <w:bCs/>
                <w:sz w:val="18"/>
                <w:szCs w:val="18"/>
                <w:lang w:val="ro-MD" w:eastAsia="en-US"/>
              </w:rPr>
            </w:pPr>
            <w:r w:rsidRPr="002460E2">
              <w:rPr>
                <w:bCs/>
                <w:sz w:val="18"/>
                <w:szCs w:val="18"/>
                <w:lang w:val="en-US" w:eastAsia="en-US"/>
              </w:rPr>
              <w:lastRenderedPageBreak/>
              <w:t>rcs</w:t>
            </w:r>
            <w:r w:rsidRPr="002460E2">
              <w:rPr>
                <w:bCs/>
                <w:sz w:val="18"/>
                <w:szCs w:val="18"/>
                <w:vertAlign w:val="subscript"/>
                <w:lang w:val="en-US" w:eastAsia="en-US"/>
              </w:rPr>
              <w:t xml:space="preserve">kt </w:t>
            </w:r>
            <w:r w:rsidRPr="002460E2">
              <w:rPr>
                <w:bCs/>
                <w:sz w:val="18"/>
                <w:szCs w:val="18"/>
                <w:lang w:val="ro-MD" w:eastAsia="en-US"/>
              </w:rPr>
              <w:t xml:space="preserve">= </w:t>
            </w:r>
            <w:r w:rsidRPr="002460E2">
              <w:rPr>
                <w:bCs/>
                <w:sz w:val="18"/>
                <w:szCs w:val="18"/>
                <w:lang w:val="en-US" w:eastAsia="en-US"/>
              </w:rPr>
              <w:t>valoarea factorului de risc de rată de marjă de credit a contrapărții k la scadența t;</w:t>
            </w:r>
          </w:p>
          <w:p w14:paraId="0D33E1D1" w14:textId="77777777" w:rsidR="00C168FA" w:rsidRPr="002460E2" w:rsidRDefault="00C168FA" w:rsidP="00C168FA">
            <w:pPr>
              <w:rPr>
                <w:bCs/>
                <w:sz w:val="18"/>
                <w:szCs w:val="18"/>
                <w:lang w:val="ro-MD" w:eastAsia="en-US"/>
              </w:rPr>
            </w:pPr>
            <w:r w:rsidRPr="002460E2">
              <w:rPr>
                <w:bCs/>
                <w:sz w:val="18"/>
                <w:szCs w:val="18"/>
                <w:lang w:val="ro-MD" w:eastAsia="en-US"/>
              </w:rPr>
              <w:t>V</w:t>
            </w:r>
            <w:r w:rsidRPr="002460E2">
              <w:rPr>
                <w:bCs/>
                <w:sz w:val="18"/>
                <w:szCs w:val="18"/>
                <w:vertAlign w:val="subscript"/>
                <w:lang w:val="ro-MD" w:eastAsia="en-US"/>
              </w:rPr>
              <w:t xml:space="preserve">CVA </w:t>
            </w:r>
            <w:r w:rsidRPr="002460E2">
              <w:rPr>
                <w:bCs/>
                <w:sz w:val="18"/>
                <w:szCs w:val="18"/>
                <w:lang w:val="ro-MD" w:eastAsia="en-US"/>
              </w:rPr>
              <w:t>= CVA agregată calculată pe baza modelului de CVA reglementară;</w:t>
            </w:r>
          </w:p>
          <w:p w14:paraId="1A6AC673" w14:textId="77777777" w:rsidR="00C168FA" w:rsidRPr="002460E2" w:rsidRDefault="00C168FA" w:rsidP="00C168FA">
            <w:pPr>
              <w:rPr>
                <w:bCs/>
                <w:sz w:val="18"/>
                <w:szCs w:val="18"/>
                <w:lang w:val="ro-MD" w:eastAsia="en-US"/>
              </w:rPr>
            </w:pPr>
            <w:r w:rsidRPr="002460E2">
              <w:rPr>
                <w:bCs/>
                <w:sz w:val="18"/>
                <w:szCs w:val="18"/>
                <w:lang w:val="ro-MD" w:eastAsia="en-US"/>
              </w:rPr>
              <w:t>x, y = alți factori de risc decât ccs</w:t>
            </w:r>
            <w:r w:rsidRPr="002460E2">
              <w:rPr>
                <w:bCs/>
                <w:sz w:val="18"/>
                <w:szCs w:val="18"/>
                <w:vertAlign w:val="subscript"/>
                <w:lang w:val="ro-MD" w:eastAsia="en-US"/>
              </w:rPr>
              <w:t>kt</w:t>
            </w:r>
            <w:r w:rsidRPr="002460E2">
              <w:rPr>
                <w:bCs/>
                <w:sz w:val="18"/>
                <w:szCs w:val="18"/>
                <w:lang w:val="ro-MD" w:eastAsia="en-US"/>
              </w:rPr>
              <w:t> în V</w:t>
            </w:r>
            <w:r w:rsidRPr="002460E2">
              <w:rPr>
                <w:bCs/>
                <w:sz w:val="18"/>
                <w:szCs w:val="18"/>
                <w:vertAlign w:val="subscript"/>
                <w:lang w:val="ro-MD" w:eastAsia="en-US"/>
              </w:rPr>
              <w:t>CVA</w:t>
            </w:r>
            <w:r w:rsidRPr="002460E2">
              <w:rPr>
                <w:bCs/>
                <w:sz w:val="18"/>
                <w:szCs w:val="18"/>
                <w:lang w:val="ro-MD" w:eastAsia="en-US"/>
              </w:rPr>
              <w:t>;</w:t>
            </w:r>
          </w:p>
          <w:p w14:paraId="0D4BF41C" w14:textId="77777777" w:rsidR="00C168FA" w:rsidRPr="002460E2" w:rsidRDefault="00C168FA" w:rsidP="00C168FA">
            <w:pPr>
              <w:rPr>
                <w:bCs/>
                <w:sz w:val="18"/>
                <w:szCs w:val="18"/>
                <w:lang w:val="ro-MD" w:eastAsia="en-US"/>
              </w:rPr>
            </w:pPr>
            <w:r w:rsidRPr="002460E2">
              <w:rPr>
                <w:bCs/>
                <w:noProof/>
                <w:sz w:val="18"/>
                <w:szCs w:val="18"/>
                <w:lang w:val="en-US" w:eastAsia="en-US"/>
              </w:rPr>
              <w:drawing>
                <wp:inline distT="0" distB="0" distL="0" distR="0" wp14:anchorId="4ED3EFB3" wp14:editId="339F7CF2">
                  <wp:extent cx="683895" cy="254635"/>
                  <wp:effectExtent l="0" t="0" r="0" b="0"/>
                  <wp:docPr id="124" name="Pictur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bCs/>
                <w:sz w:val="18"/>
                <w:szCs w:val="18"/>
                <w:lang w:val="ro-MD" w:eastAsia="en-US"/>
              </w:rPr>
              <w:t>= sensibilitățile acoperirii eligibile i la un factor de risc de rată de marjă de credit de referință;</w:t>
            </w:r>
          </w:p>
          <w:p w14:paraId="35E090D7" w14:textId="77777777" w:rsidR="00C168FA" w:rsidRPr="002460E2" w:rsidRDefault="00C168FA" w:rsidP="00C168FA">
            <w:pPr>
              <w:rPr>
                <w:bCs/>
                <w:sz w:val="18"/>
                <w:szCs w:val="18"/>
                <w:lang w:val="ro-MD" w:eastAsia="en-US"/>
              </w:rPr>
            </w:pPr>
            <w:r w:rsidRPr="002460E2">
              <w:rPr>
                <w:bCs/>
                <w:sz w:val="18"/>
                <w:szCs w:val="18"/>
                <w:lang w:val="en-US" w:eastAsia="en-US"/>
              </w:rPr>
              <w:t>V</w:t>
            </w:r>
            <w:r w:rsidRPr="002460E2">
              <w:rPr>
                <w:bCs/>
                <w:sz w:val="18"/>
                <w:szCs w:val="18"/>
                <w:vertAlign w:val="subscript"/>
                <w:lang w:val="en-US" w:eastAsia="en-US"/>
              </w:rPr>
              <w:t xml:space="preserve">i  </w:t>
            </w:r>
            <w:r w:rsidRPr="002460E2">
              <w:rPr>
                <w:bCs/>
                <w:sz w:val="18"/>
                <w:szCs w:val="18"/>
                <w:lang w:val="en-US" w:eastAsia="en-US"/>
              </w:rPr>
              <w:t xml:space="preserve">= </w:t>
            </w:r>
            <w:r w:rsidRPr="002460E2">
              <w:rPr>
                <w:bCs/>
                <w:sz w:val="18"/>
                <w:szCs w:val="18"/>
                <w:lang w:val="ro-MD" w:eastAsia="en-US"/>
              </w:rPr>
              <w:t>funcția de evaluare a acoperirii eligibile i;</w:t>
            </w:r>
          </w:p>
          <w:p w14:paraId="03216A91" w14:textId="77777777" w:rsidR="00C168FA" w:rsidRPr="002460E2" w:rsidRDefault="00C168FA" w:rsidP="00C168FA">
            <w:pPr>
              <w:rPr>
                <w:bCs/>
                <w:sz w:val="18"/>
                <w:szCs w:val="18"/>
                <w:lang w:val="ro-MD" w:eastAsia="en-US"/>
              </w:rPr>
            </w:pPr>
            <w:r w:rsidRPr="002460E2">
              <w:rPr>
                <w:bCs/>
                <w:sz w:val="18"/>
                <w:szCs w:val="18"/>
                <w:lang w:val="ro-MD" w:eastAsia="en-US"/>
              </w:rPr>
              <w:t>w, z = alți factori de risc decât ccs</w:t>
            </w:r>
            <w:r w:rsidRPr="002460E2">
              <w:rPr>
                <w:bCs/>
                <w:sz w:val="18"/>
                <w:szCs w:val="18"/>
                <w:vertAlign w:val="subscript"/>
                <w:lang w:val="ro-MD" w:eastAsia="en-US"/>
              </w:rPr>
              <w:t>kt</w:t>
            </w:r>
            <w:r w:rsidRPr="002460E2">
              <w:rPr>
                <w:bCs/>
                <w:sz w:val="18"/>
                <w:szCs w:val="18"/>
                <w:lang w:val="ro-MD" w:eastAsia="en-US"/>
              </w:rPr>
              <w:t> din funcția de evaluare V</w:t>
            </w:r>
            <w:r w:rsidRPr="002460E2">
              <w:rPr>
                <w:bCs/>
                <w:sz w:val="18"/>
                <w:szCs w:val="18"/>
                <w:vertAlign w:val="subscript"/>
                <w:lang w:val="ro-MD" w:eastAsia="en-US"/>
              </w:rPr>
              <w:t>i</w:t>
            </w:r>
            <w:r w:rsidRPr="002460E2">
              <w:rPr>
                <w:bCs/>
                <w:sz w:val="18"/>
                <w:szCs w:val="18"/>
                <w:lang w:val="ro-MD" w:eastAsia="en-US"/>
              </w:rPr>
              <w:t> .</w:t>
            </w:r>
          </w:p>
          <w:p w14:paraId="6F90FFE1" w14:textId="1410070E" w:rsidR="008D7F28" w:rsidRPr="002460E2" w:rsidRDefault="008D7F28" w:rsidP="008D7F28">
            <w:pPr>
              <w:rPr>
                <w:bCs/>
                <w:sz w:val="18"/>
                <w:szCs w:val="18"/>
                <w:lang w:val="ro-MD" w:eastAsia="en-US"/>
              </w:rPr>
            </w:pPr>
          </w:p>
        </w:tc>
        <w:tc>
          <w:tcPr>
            <w:tcW w:w="1229" w:type="dxa"/>
          </w:tcPr>
          <w:p w14:paraId="28B54B82" w14:textId="3E440BF0"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02858B7F" w14:textId="77777777" w:rsidR="008D7F28" w:rsidRPr="002460E2" w:rsidRDefault="008D7F28" w:rsidP="008D7F28">
            <w:pPr>
              <w:jc w:val="both"/>
              <w:rPr>
                <w:sz w:val="18"/>
                <w:szCs w:val="18"/>
                <w:lang w:val="ro-MD"/>
              </w:rPr>
            </w:pPr>
          </w:p>
        </w:tc>
      </w:tr>
      <w:tr w:rsidR="008D7F28" w:rsidRPr="002460E2" w14:paraId="195124B3" w14:textId="77777777" w:rsidTr="003F5B3C">
        <w:trPr>
          <w:trHeight w:val="918"/>
        </w:trPr>
        <w:tc>
          <w:tcPr>
            <w:tcW w:w="4253" w:type="dxa"/>
          </w:tcPr>
          <w:p w14:paraId="2B27FEA3" w14:textId="05118014" w:rsidR="008D7F28" w:rsidRPr="002460E2" w:rsidRDefault="008D7F28" w:rsidP="008D7F28">
            <w:pPr>
              <w:rPr>
                <w:sz w:val="18"/>
                <w:szCs w:val="18"/>
                <w:lang w:val="en-US"/>
              </w:rPr>
            </w:pPr>
            <w:r w:rsidRPr="002460E2">
              <w:rPr>
                <w:sz w:val="18"/>
                <w:szCs w:val="18"/>
                <w:lang w:val="en-US"/>
              </w:rPr>
              <w:t>(5) Instituțiile calculează sensibilitățile delta ale CVA agregate la factorii de risc care constau în prețurile spot ale titlurilor de capital, precum și ale unui instrument de acoperire eligibil la acești factori de risc după cum urmează:</w:t>
            </w:r>
          </w:p>
          <w:p w14:paraId="386089FC" w14:textId="77777777" w:rsidR="008D7F28" w:rsidRPr="002460E2" w:rsidRDefault="008D7F28" w:rsidP="008D7F28">
            <w:pPr>
              <w:jc w:val="center"/>
              <w:rPr>
                <w:sz w:val="18"/>
                <w:szCs w:val="18"/>
              </w:rPr>
            </w:pPr>
            <w:r w:rsidRPr="002460E2">
              <w:rPr>
                <w:noProof/>
                <w:sz w:val="18"/>
                <w:szCs w:val="18"/>
              </w:rPr>
              <w:drawing>
                <wp:inline distT="0" distB="0" distL="0" distR="0" wp14:anchorId="16D14FA4" wp14:editId="487D1A4E">
                  <wp:extent cx="1954060" cy="255554"/>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31612" cy="265696"/>
                          </a:xfrm>
                          <a:prstGeom prst="rect">
                            <a:avLst/>
                          </a:prstGeom>
                          <a:noFill/>
                          <a:ln>
                            <a:noFill/>
                          </a:ln>
                        </pic:spPr>
                      </pic:pic>
                    </a:graphicData>
                  </a:graphic>
                </wp:inline>
              </w:drawing>
            </w:r>
          </w:p>
          <w:p w14:paraId="6A9A490F" w14:textId="77777777" w:rsidR="008D7F28" w:rsidRPr="002460E2" w:rsidRDefault="008D7F28" w:rsidP="008D7F28">
            <w:pPr>
              <w:jc w:val="center"/>
              <w:rPr>
                <w:sz w:val="18"/>
                <w:szCs w:val="18"/>
              </w:rPr>
            </w:pPr>
            <w:r w:rsidRPr="002460E2">
              <w:rPr>
                <w:noProof/>
                <w:sz w:val="18"/>
                <w:szCs w:val="18"/>
              </w:rPr>
              <w:drawing>
                <wp:inline distT="0" distB="0" distL="0" distR="0" wp14:anchorId="661DB69B" wp14:editId="25F4A4A5">
                  <wp:extent cx="2392562" cy="281836"/>
                  <wp:effectExtent l="0" t="0" r="0" b="4445"/>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2050" cy="290021"/>
                          </a:xfrm>
                          <a:prstGeom prst="rect">
                            <a:avLst/>
                          </a:prstGeom>
                          <a:noFill/>
                          <a:ln>
                            <a:noFill/>
                          </a:ln>
                        </pic:spPr>
                      </pic:pic>
                    </a:graphicData>
                  </a:graphic>
                </wp:inline>
              </w:drawing>
            </w:r>
          </w:p>
          <w:p w14:paraId="3BF1AD59"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342"/>
              <w:gridCol w:w="3695"/>
            </w:tblGrid>
            <w:tr w:rsidR="008D7F28" w:rsidRPr="002460E2" w14:paraId="4B781BCD" w14:textId="77777777" w:rsidTr="005E4B33">
              <w:tc>
                <w:tcPr>
                  <w:tcW w:w="770" w:type="dxa"/>
                  <w:shd w:val="clear" w:color="auto" w:fill="auto"/>
                  <w:hideMark/>
                </w:tcPr>
                <w:p w14:paraId="4194148F" w14:textId="77777777" w:rsidR="008D7F28" w:rsidRPr="002460E2" w:rsidRDefault="008D7F28" w:rsidP="008D7F28">
                  <w:pPr>
                    <w:rPr>
                      <w:sz w:val="18"/>
                      <w:szCs w:val="18"/>
                    </w:rPr>
                  </w:pPr>
                  <w:r w:rsidRPr="002460E2">
                    <w:rPr>
                      <w:noProof/>
                      <w:sz w:val="18"/>
                      <w:szCs w:val="18"/>
                    </w:rPr>
                    <w:drawing>
                      <wp:inline distT="0" distB="0" distL="0" distR="0" wp14:anchorId="3A925990" wp14:editId="14C2606D">
                        <wp:extent cx="178632" cy="118997"/>
                        <wp:effectExtent l="0" t="0" r="0" b="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7684" cy="125027"/>
                                </a:xfrm>
                                <a:prstGeom prst="rect">
                                  <a:avLst/>
                                </a:prstGeom>
                                <a:noFill/>
                                <a:ln>
                                  <a:noFill/>
                                </a:ln>
                              </pic:spPr>
                            </pic:pic>
                          </a:graphicData>
                        </a:graphic>
                      </wp:inline>
                    </w:drawing>
                  </w:r>
                </w:p>
              </w:tc>
              <w:tc>
                <w:tcPr>
                  <w:tcW w:w="8585" w:type="dxa"/>
                  <w:shd w:val="clear" w:color="auto" w:fill="auto"/>
                  <w:hideMark/>
                </w:tcPr>
                <w:p w14:paraId="68E59AFF" w14:textId="77777777" w:rsidR="008D7F28" w:rsidRPr="002460E2" w:rsidRDefault="008D7F28" w:rsidP="008D7F28">
                  <w:pPr>
                    <w:rPr>
                      <w:sz w:val="18"/>
                      <w:szCs w:val="18"/>
                      <w:lang w:val="en-US"/>
                    </w:rPr>
                  </w:pPr>
                  <w:r w:rsidRPr="002460E2">
                    <w:rPr>
                      <w:sz w:val="18"/>
                      <w:szCs w:val="18"/>
                      <w:lang w:val="en-US"/>
                    </w:rPr>
                    <w:t>= sensibilitățile CVA agregate la un factor de risc de preț spot al titlurilor de capital;</w:t>
                  </w:r>
                </w:p>
              </w:tc>
            </w:tr>
          </w:tbl>
          <w:p w14:paraId="59CF6847"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44"/>
              <w:gridCol w:w="3793"/>
            </w:tblGrid>
            <w:tr w:rsidR="008D7F28" w:rsidRPr="002460E2" w14:paraId="42E9C505" w14:textId="77777777" w:rsidTr="005E4B33">
              <w:tc>
                <w:tcPr>
                  <w:tcW w:w="541" w:type="dxa"/>
                  <w:shd w:val="clear" w:color="auto" w:fill="auto"/>
                  <w:hideMark/>
                </w:tcPr>
                <w:p w14:paraId="04E05FB6" w14:textId="77777777" w:rsidR="008D7F28" w:rsidRPr="002460E2" w:rsidRDefault="008D7F28" w:rsidP="008D7F28">
                  <w:pPr>
                    <w:rPr>
                      <w:sz w:val="18"/>
                      <w:szCs w:val="18"/>
                    </w:rPr>
                  </w:pPr>
                  <w:r w:rsidRPr="002460E2">
                    <w:rPr>
                      <w:i/>
                      <w:iCs/>
                      <w:sz w:val="18"/>
                      <w:szCs w:val="18"/>
                    </w:rPr>
                    <w:t>EQ</w:t>
                  </w:r>
                </w:p>
              </w:tc>
              <w:tc>
                <w:tcPr>
                  <w:tcW w:w="8814" w:type="dxa"/>
                  <w:shd w:val="clear" w:color="auto" w:fill="auto"/>
                  <w:hideMark/>
                </w:tcPr>
                <w:p w14:paraId="2EC47C85" w14:textId="77777777" w:rsidR="008D7F28" w:rsidRPr="002460E2" w:rsidRDefault="008D7F28" w:rsidP="008D7F28">
                  <w:pPr>
                    <w:rPr>
                      <w:sz w:val="18"/>
                      <w:szCs w:val="18"/>
                      <w:lang w:val="en-US"/>
                    </w:rPr>
                  </w:pPr>
                  <w:r w:rsidRPr="002460E2">
                    <w:rPr>
                      <w:sz w:val="18"/>
                      <w:szCs w:val="18"/>
                      <w:lang w:val="en-US"/>
                    </w:rPr>
                    <w:t>= valoarea prețului spot al titlurilor de capital;</w:t>
                  </w:r>
                </w:p>
              </w:tc>
            </w:tr>
          </w:tbl>
          <w:p w14:paraId="1D382E54" w14:textId="77777777" w:rsidR="008D7F28" w:rsidRPr="002460E2" w:rsidRDefault="008D7F28" w:rsidP="008D7F28">
            <w:pPr>
              <w:rPr>
                <w:vanish/>
                <w:sz w:val="18"/>
                <w:szCs w:val="18"/>
              </w:rPr>
            </w:pPr>
          </w:p>
          <w:tbl>
            <w:tblPr>
              <w:tblW w:w="4904" w:type="dxa"/>
              <w:tblLayout w:type="fixed"/>
              <w:tblCellMar>
                <w:left w:w="0" w:type="dxa"/>
                <w:right w:w="0" w:type="dxa"/>
              </w:tblCellMar>
              <w:tblLook w:val="04A0" w:firstRow="1" w:lastRow="0" w:firstColumn="1" w:lastColumn="0" w:noHBand="0" w:noVBand="1"/>
            </w:tblPr>
            <w:tblGrid>
              <w:gridCol w:w="291"/>
              <w:gridCol w:w="4613"/>
            </w:tblGrid>
            <w:tr w:rsidR="008D7F28" w:rsidRPr="002460E2" w14:paraId="73ACAAD0" w14:textId="77777777" w:rsidTr="00CB7DAD">
              <w:trPr>
                <w:trHeight w:val="486"/>
              </w:trPr>
              <w:tc>
                <w:tcPr>
                  <w:tcW w:w="291" w:type="dxa"/>
                  <w:shd w:val="clear" w:color="auto" w:fill="auto"/>
                  <w:hideMark/>
                </w:tcPr>
                <w:p w14:paraId="0F561A5F"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4613" w:type="dxa"/>
                  <w:shd w:val="clear" w:color="auto" w:fill="auto"/>
                  <w:hideMark/>
                </w:tcPr>
                <w:p w14:paraId="10398DA0"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753E576B" w14:textId="0AFAFD15" w:rsidR="008D7F28" w:rsidRPr="002460E2" w:rsidRDefault="008D7F28" w:rsidP="008D7F28">
                  <w:pPr>
                    <w:rPr>
                      <w:sz w:val="18"/>
                      <w:szCs w:val="18"/>
                      <w:lang w:val="en-US"/>
                    </w:rPr>
                  </w:pPr>
                  <w:r w:rsidRPr="002460E2">
                    <w:rPr>
                      <w:sz w:val="18"/>
                      <w:szCs w:val="18"/>
                      <w:lang w:val="en-US"/>
                    </w:rPr>
                    <w:t>reglementară;</w:t>
                  </w:r>
                </w:p>
              </w:tc>
            </w:tr>
          </w:tbl>
          <w:p w14:paraId="4221F303"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96"/>
              <w:gridCol w:w="3741"/>
            </w:tblGrid>
            <w:tr w:rsidR="008D7F28" w:rsidRPr="002460E2" w14:paraId="20485884" w14:textId="77777777" w:rsidTr="005E4B33">
              <w:tc>
                <w:tcPr>
                  <w:tcW w:w="663" w:type="dxa"/>
                  <w:shd w:val="clear" w:color="auto" w:fill="auto"/>
                  <w:hideMark/>
                </w:tcPr>
                <w:p w14:paraId="2B7480E6" w14:textId="77777777" w:rsidR="008D7F28" w:rsidRPr="002460E2" w:rsidRDefault="008D7F28" w:rsidP="008D7F28">
                  <w:pPr>
                    <w:rPr>
                      <w:sz w:val="18"/>
                      <w:szCs w:val="18"/>
                    </w:rPr>
                  </w:pPr>
                  <w:r w:rsidRPr="002460E2">
                    <w:rPr>
                      <w:i/>
                      <w:iCs/>
                      <w:sz w:val="18"/>
                      <w:szCs w:val="18"/>
                    </w:rPr>
                    <w:t>x,y</w:t>
                  </w:r>
                </w:p>
              </w:tc>
              <w:tc>
                <w:tcPr>
                  <w:tcW w:w="8692" w:type="dxa"/>
                  <w:shd w:val="clear" w:color="auto" w:fill="auto"/>
                  <w:hideMark/>
                </w:tcPr>
                <w:p w14:paraId="2F81C3FC" w14:textId="59CBCCD1"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EQ</w:t>
                  </w:r>
                  <w:r w:rsidRPr="002460E2">
                    <w:rPr>
                      <w:sz w:val="18"/>
                      <w:szCs w:val="18"/>
                      <w:lang w:val="en-US"/>
                    </w:rPr>
                    <w:t> în </w:t>
                  </w:r>
                  <w:r w:rsidRPr="002460E2">
                    <w:rPr>
                      <w:i/>
                      <w:iCs/>
                      <w:sz w:val="18"/>
                      <w:szCs w:val="18"/>
                      <w:lang w:val="en-US"/>
                    </w:rPr>
                    <w:t>V</w:t>
                  </w:r>
                  <w:r w:rsidRPr="002460E2">
                    <w:rPr>
                      <w:i/>
                      <w:iCs/>
                      <w:sz w:val="18"/>
                      <w:szCs w:val="18"/>
                      <w:vertAlign w:val="subscript"/>
                      <w:lang w:val="en-US"/>
                    </w:rPr>
                    <w:t>CVA</w:t>
                  </w:r>
                  <w:r w:rsidRPr="002460E2">
                    <w:rPr>
                      <w:sz w:val="18"/>
                      <w:szCs w:val="18"/>
                      <w:lang w:val="en-US"/>
                    </w:rPr>
                    <w:t>;</w:t>
                  </w:r>
                </w:p>
              </w:tc>
            </w:tr>
          </w:tbl>
          <w:p w14:paraId="12787BC0"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602"/>
              <w:gridCol w:w="3435"/>
            </w:tblGrid>
            <w:tr w:rsidR="008D7F28" w:rsidRPr="002460E2" w14:paraId="06763342" w14:textId="77777777" w:rsidTr="005E4B33">
              <w:tc>
                <w:tcPr>
                  <w:tcW w:w="1377" w:type="dxa"/>
                  <w:shd w:val="clear" w:color="auto" w:fill="auto"/>
                  <w:hideMark/>
                </w:tcPr>
                <w:p w14:paraId="33302647" w14:textId="77777777" w:rsidR="008D7F28" w:rsidRPr="002460E2" w:rsidRDefault="008D7F28" w:rsidP="008D7F28">
                  <w:pPr>
                    <w:rPr>
                      <w:sz w:val="18"/>
                      <w:szCs w:val="18"/>
                    </w:rPr>
                  </w:pPr>
                  <w:r w:rsidRPr="002460E2">
                    <w:rPr>
                      <w:noProof/>
                      <w:sz w:val="18"/>
                      <w:szCs w:val="18"/>
                    </w:rPr>
                    <w:drawing>
                      <wp:inline distT="0" distB="0" distL="0" distR="0" wp14:anchorId="7F552591" wp14:editId="17F45DE2">
                        <wp:extent cx="350728" cy="129842"/>
                        <wp:effectExtent l="0" t="0" r="0" b="381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6756" cy="135776"/>
                                </a:xfrm>
                                <a:prstGeom prst="rect">
                                  <a:avLst/>
                                </a:prstGeom>
                                <a:noFill/>
                                <a:ln>
                                  <a:noFill/>
                                </a:ln>
                              </pic:spPr>
                            </pic:pic>
                          </a:graphicData>
                        </a:graphic>
                      </wp:inline>
                    </w:drawing>
                  </w:r>
                </w:p>
              </w:tc>
              <w:tc>
                <w:tcPr>
                  <w:tcW w:w="7978" w:type="dxa"/>
                  <w:shd w:val="clear" w:color="auto" w:fill="auto"/>
                  <w:hideMark/>
                </w:tcPr>
                <w:p w14:paraId="59394E1A"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preț spot al titlurilor de capital;</w:t>
                  </w:r>
                </w:p>
              </w:tc>
            </w:tr>
          </w:tbl>
          <w:p w14:paraId="7F992F75"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6A3F71C3" w14:textId="77777777" w:rsidTr="005E4B33">
              <w:tc>
                <w:tcPr>
                  <w:tcW w:w="370" w:type="dxa"/>
                  <w:shd w:val="clear" w:color="auto" w:fill="auto"/>
                  <w:hideMark/>
                </w:tcPr>
                <w:p w14:paraId="32BE9C75"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5584FF35"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1EFC3A0E"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32"/>
              <w:gridCol w:w="3805"/>
            </w:tblGrid>
            <w:tr w:rsidR="008D7F28" w:rsidRPr="002460E2" w14:paraId="37321160" w14:textId="77777777" w:rsidTr="005E4B33">
              <w:tc>
                <w:tcPr>
                  <w:tcW w:w="513" w:type="dxa"/>
                  <w:shd w:val="clear" w:color="auto" w:fill="auto"/>
                  <w:hideMark/>
                </w:tcPr>
                <w:p w14:paraId="4D4BFA5C" w14:textId="77777777" w:rsidR="008D7F28" w:rsidRPr="002460E2" w:rsidRDefault="008D7F28" w:rsidP="008D7F28">
                  <w:pPr>
                    <w:rPr>
                      <w:sz w:val="18"/>
                      <w:szCs w:val="18"/>
                    </w:rPr>
                  </w:pPr>
                  <w:r w:rsidRPr="002460E2">
                    <w:rPr>
                      <w:i/>
                      <w:iCs/>
                      <w:sz w:val="18"/>
                      <w:szCs w:val="18"/>
                    </w:rPr>
                    <w:t>w,z</w:t>
                  </w:r>
                </w:p>
              </w:tc>
              <w:tc>
                <w:tcPr>
                  <w:tcW w:w="8842" w:type="dxa"/>
                  <w:shd w:val="clear" w:color="auto" w:fill="auto"/>
                  <w:hideMark/>
                </w:tcPr>
                <w:p w14:paraId="76D07C00"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EQ</w:t>
                  </w:r>
                  <w:r w:rsidRPr="002460E2">
                    <w:rPr>
                      <w:sz w:val="18"/>
                      <w:szCs w:val="18"/>
                      <w:lang w:val="en-US"/>
                    </w:rPr>
                    <w:t> 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3B308A2F" w14:textId="772A9A03" w:rsidR="008D7F28" w:rsidRPr="002460E2" w:rsidRDefault="008D7F28" w:rsidP="008D7F28">
            <w:pPr>
              <w:autoSpaceDE w:val="0"/>
              <w:autoSpaceDN w:val="0"/>
              <w:adjustRightInd w:val="0"/>
              <w:spacing w:before="60" w:after="60"/>
              <w:rPr>
                <w:rFonts w:eastAsiaTheme="minorHAnsi"/>
                <w:i/>
                <w:iCs/>
                <w:color w:val="000000"/>
                <w:sz w:val="18"/>
                <w:szCs w:val="18"/>
                <w:lang w:val="en-US" w:eastAsia="en-US"/>
              </w:rPr>
            </w:pPr>
          </w:p>
        </w:tc>
        <w:tc>
          <w:tcPr>
            <w:tcW w:w="3685" w:type="dxa"/>
            <w:shd w:val="clear" w:color="auto" w:fill="auto"/>
          </w:tcPr>
          <w:p w14:paraId="0F2060F6" w14:textId="7203DEC8" w:rsidR="00592C8A" w:rsidRPr="002460E2" w:rsidRDefault="00592C8A" w:rsidP="00592C8A">
            <w:pPr>
              <w:jc w:val="both"/>
              <w:rPr>
                <w:sz w:val="18"/>
                <w:szCs w:val="18"/>
                <w:lang w:val="ro-MD" w:eastAsia="en-US"/>
              </w:rPr>
            </w:pPr>
            <w:r w:rsidRPr="002460E2">
              <w:rPr>
                <w:sz w:val="18"/>
                <w:szCs w:val="18"/>
                <w:lang w:val="ro-MD" w:eastAsia="en-US"/>
              </w:rPr>
              <w:t>6</w:t>
            </w:r>
            <w:r w:rsidR="00FB32FD" w:rsidRPr="002460E2">
              <w:rPr>
                <w:sz w:val="18"/>
                <w:szCs w:val="18"/>
                <w:lang w:val="ro-MD" w:eastAsia="en-US"/>
              </w:rPr>
              <w:t>7</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Băncile calculează sensibilitățile delta ale CVA agregate la factorii de risc care constau în prețurile spot ale titlurilor de capital, precum și ale unui instrument de acoperire eligibil la acești factori de risc după cum urmează:</w:t>
            </w:r>
          </w:p>
          <w:p w14:paraId="683485BF" w14:textId="77777777" w:rsidR="00592C8A" w:rsidRPr="002460E2" w:rsidRDefault="00592C8A" w:rsidP="00592C8A">
            <w:pPr>
              <w:tabs>
                <w:tab w:val="left" w:pos="993"/>
                <w:tab w:val="left" w:pos="1134"/>
              </w:tabs>
              <w:ind w:left="720" w:firstLine="426"/>
              <w:contextualSpacing/>
              <w:jc w:val="both"/>
              <w:rPr>
                <w:sz w:val="18"/>
                <w:szCs w:val="18"/>
                <w:lang w:val="ro-MD" w:eastAsia="en-US"/>
              </w:rPr>
            </w:pPr>
            <w:r w:rsidRPr="002460E2">
              <w:rPr>
                <w:noProof/>
                <w:sz w:val="18"/>
                <w:szCs w:val="18"/>
                <w:lang w:val="ro-MD" w:eastAsia="en-US"/>
              </w:rPr>
              <w:drawing>
                <wp:inline distT="0" distB="0" distL="0" distR="0" wp14:anchorId="7D8D5C4B" wp14:editId="691D5938">
                  <wp:extent cx="1338864" cy="175098"/>
                  <wp:effectExtent l="0" t="0" r="0" b="0"/>
                  <wp:docPr id="125" name="Pictur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5318" cy="177250"/>
                          </a:xfrm>
                          <a:prstGeom prst="rect">
                            <a:avLst/>
                          </a:prstGeom>
                          <a:noFill/>
                          <a:ln>
                            <a:noFill/>
                          </a:ln>
                        </pic:spPr>
                      </pic:pic>
                    </a:graphicData>
                  </a:graphic>
                </wp:inline>
              </w:drawing>
            </w:r>
          </w:p>
          <w:p w14:paraId="41FBDC0F" w14:textId="77777777" w:rsidR="00592C8A" w:rsidRPr="002460E2" w:rsidRDefault="00592C8A" w:rsidP="00592C8A">
            <w:pPr>
              <w:tabs>
                <w:tab w:val="left" w:pos="993"/>
                <w:tab w:val="left" w:pos="1134"/>
              </w:tabs>
              <w:ind w:left="720" w:firstLine="426"/>
              <w:contextualSpacing/>
              <w:jc w:val="both"/>
              <w:rPr>
                <w:sz w:val="18"/>
                <w:szCs w:val="18"/>
                <w:lang w:val="ro-MD" w:eastAsia="en-US"/>
              </w:rPr>
            </w:pPr>
            <w:r w:rsidRPr="002460E2">
              <w:rPr>
                <w:noProof/>
                <w:sz w:val="18"/>
                <w:szCs w:val="18"/>
                <w:lang w:val="ro-MD" w:eastAsia="en-US"/>
              </w:rPr>
              <w:drawing>
                <wp:inline distT="0" distB="0" distL="0" distR="0" wp14:anchorId="22EBBB0B" wp14:editId="10FE4E85">
                  <wp:extent cx="1403859" cy="165370"/>
                  <wp:effectExtent l="0" t="0" r="6350" b="6350"/>
                  <wp:docPr id="126" name="Pictur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9649" cy="168408"/>
                          </a:xfrm>
                          <a:prstGeom prst="rect">
                            <a:avLst/>
                          </a:prstGeom>
                          <a:noFill/>
                          <a:ln>
                            <a:noFill/>
                          </a:ln>
                        </pic:spPr>
                      </pic:pic>
                    </a:graphicData>
                  </a:graphic>
                </wp:inline>
              </w:drawing>
            </w:r>
          </w:p>
          <w:p w14:paraId="763605F6" w14:textId="77777777" w:rsidR="00592C8A" w:rsidRPr="002460E2" w:rsidRDefault="00592C8A" w:rsidP="00592C8A">
            <w:pPr>
              <w:tabs>
                <w:tab w:val="left" w:pos="993"/>
                <w:tab w:val="left" w:pos="1134"/>
              </w:tabs>
              <w:contextualSpacing/>
              <w:jc w:val="both"/>
              <w:rPr>
                <w:sz w:val="18"/>
                <w:szCs w:val="18"/>
                <w:lang w:val="ro-MD" w:eastAsia="en-US"/>
              </w:rPr>
            </w:pPr>
            <w:r w:rsidRPr="002460E2">
              <w:rPr>
                <w:sz w:val="18"/>
                <w:szCs w:val="18"/>
                <w:lang w:val="ro-MD" w:eastAsia="en-US"/>
              </w:rPr>
              <w:t>unde:</w:t>
            </w:r>
          </w:p>
          <w:p w14:paraId="118F9865" w14:textId="67281956" w:rsidR="00592C8A" w:rsidRPr="002460E2" w:rsidRDefault="00592C8A" w:rsidP="00592C8A">
            <w:pPr>
              <w:tabs>
                <w:tab w:val="left" w:pos="993"/>
                <w:tab w:val="left" w:pos="1134"/>
              </w:tabs>
              <w:contextualSpacing/>
              <w:jc w:val="both"/>
              <w:rPr>
                <w:sz w:val="18"/>
                <w:szCs w:val="18"/>
                <w:lang w:val="ro-MD" w:eastAsia="en-US"/>
              </w:rPr>
            </w:pPr>
            <w:r w:rsidRPr="002460E2">
              <w:rPr>
                <w:rFonts w:eastAsiaTheme="minorHAnsi"/>
                <w:noProof/>
                <w:sz w:val="18"/>
                <w:szCs w:val="18"/>
                <w:lang w:val="en-US" w:eastAsia="en-US"/>
              </w:rPr>
              <w:drawing>
                <wp:inline distT="0" distB="0" distL="0" distR="0" wp14:anchorId="39445FEA" wp14:editId="55098417">
                  <wp:extent cx="330835" cy="223520"/>
                  <wp:effectExtent l="0" t="0" r="0" b="5080"/>
                  <wp:docPr id="128" name="Pictur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0835" cy="223520"/>
                          </a:xfrm>
                          <a:prstGeom prst="rect">
                            <a:avLst/>
                          </a:prstGeom>
                          <a:noFill/>
                          <a:ln>
                            <a:noFill/>
                          </a:ln>
                        </pic:spPr>
                      </pic:pic>
                    </a:graphicData>
                  </a:graphic>
                </wp:inline>
              </w:drawing>
            </w:r>
            <w:r w:rsidRPr="002460E2">
              <w:rPr>
                <w:sz w:val="18"/>
                <w:szCs w:val="18"/>
                <w:lang w:val="ro-MD" w:eastAsia="en-US"/>
              </w:rPr>
              <w:t xml:space="preserve"> = sensibilitățile CVA agregate la un factor de risc de preț spot al titlurilor de capital;</w:t>
            </w:r>
          </w:p>
          <w:p w14:paraId="4CD60F11" w14:textId="77777777" w:rsidR="00592C8A" w:rsidRPr="002460E2" w:rsidRDefault="00592C8A" w:rsidP="00592C8A">
            <w:pPr>
              <w:tabs>
                <w:tab w:val="left" w:pos="993"/>
                <w:tab w:val="left" w:pos="1134"/>
              </w:tabs>
              <w:contextualSpacing/>
              <w:jc w:val="both"/>
              <w:rPr>
                <w:sz w:val="18"/>
                <w:szCs w:val="18"/>
                <w:lang w:val="ro-MD" w:eastAsia="en-US"/>
              </w:rPr>
            </w:pPr>
            <w:r w:rsidRPr="002460E2">
              <w:rPr>
                <w:i/>
                <w:iCs/>
                <w:sz w:val="18"/>
                <w:szCs w:val="18"/>
                <w:lang w:val="ro-MD" w:eastAsia="en-US"/>
              </w:rPr>
              <w:t xml:space="preserve">EQ </w:t>
            </w:r>
            <w:r w:rsidRPr="002460E2">
              <w:rPr>
                <w:sz w:val="18"/>
                <w:szCs w:val="18"/>
                <w:lang w:val="ro-MD" w:eastAsia="en-US"/>
              </w:rPr>
              <w:t>= valoarea prețului spot al titlurilor de capital;</w:t>
            </w:r>
          </w:p>
          <w:p w14:paraId="4B0CD7BE" w14:textId="77777777" w:rsidR="00592C8A" w:rsidRPr="002460E2" w:rsidRDefault="00592C8A" w:rsidP="00592C8A">
            <w:pPr>
              <w:tabs>
                <w:tab w:val="left" w:pos="993"/>
                <w:tab w:val="left" w:pos="1134"/>
              </w:tabs>
              <w:contextualSpacing/>
              <w:jc w:val="both"/>
              <w:rPr>
                <w:sz w:val="18"/>
                <w:szCs w:val="18"/>
                <w:lang w:val="ro-MD" w:eastAsia="en-US"/>
              </w:rPr>
            </w:pPr>
            <w:r w:rsidRPr="002460E2">
              <w:rPr>
                <w:i/>
                <w:iCs/>
                <w:sz w:val="18"/>
                <w:szCs w:val="18"/>
                <w:lang w:val="en-US" w:eastAsia="en-US"/>
              </w:rPr>
              <w:t>V</w:t>
            </w:r>
            <w:r w:rsidRPr="002460E2">
              <w:rPr>
                <w:i/>
                <w:iCs/>
                <w:sz w:val="18"/>
                <w:szCs w:val="18"/>
                <w:vertAlign w:val="subscript"/>
                <w:lang w:val="en-US" w:eastAsia="en-US"/>
              </w:rPr>
              <w:t>CVA</w:t>
            </w:r>
            <w:r w:rsidRPr="002460E2">
              <w:rPr>
                <w:i/>
                <w:iCs/>
                <w:sz w:val="18"/>
                <w:szCs w:val="18"/>
                <w:lang w:val="en-US" w:eastAsia="en-US"/>
              </w:rPr>
              <w:t xml:space="preserve">= </w:t>
            </w:r>
            <w:r w:rsidRPr="002460E2">
              <w:rPr>
                <w:sz w:val="18"/>
                <w:szCs w:val="18"/>
                <w:lang w:val="ro-MD" w:eastAsia="en-US"/>
              </w:rPr>
              <w:t>CVA agregată calculată pe baza modelului de CVA reglementară;</w:t>
            </w:r>
          </w:p>
          <w:p w14:paraId="46BD6253" w14:textId="77777777" w:rsidR="00592C8A" w:rsidRPr="002460E2" w:rsidRDefault="00592C8A" w:rsidP="00592C8A">
            <w:pPr>
              <w:tabs>
                <w:tab w:val="left" w:pos="993"/>
                <w:tab w:val="left" w:pos="1134"/>
              </w:tabs>
              <w:contextualSpacing/>
              <w:jc w:val="both"/>
              <w:rPr>
                <w:sz w:val="18"/>
                <w:szCs w:val="18"/>
                <w:lang w:val="ro-MD" w:eastAsia="en-US"/>
              </w:rPr>
            </w:pPr>
            <w:r w:rsidRPr="002460E2">
              <w:rPr>
                <w:i/>
                <w:iCs/>
                <w:sz w:val="18"/>
                <w:szCs w:val="18"/>
                <w:lang w:val="ro-MD" w:eastAsia="en-US"/>
              </w:rPr>
              <w:t>x, y</w:t>
            </w:r>
            <w:r w:rsidRPr="002460E2">
              <w:rPr>
                <w:sz w:val="18"/>
                <w:szCs w:val="18"/>
                <w:lang w:val="ro-MD" w:eastAsia="en-US"/>
              </w:rPr>
              <w:t xml:space="preserve"> = alți factori de risc decât </w:t>
            </w:r>
            <w:r w:rsidRPr="002460E2">
              <w:rPr>
                <w:i/>
                <w:iCs/>
                <w:sz w:val="18"/>
                <w:szCs w:val="18"/>
                <w:lang w:val="ro-MD" w:eastAsia="en-US"/>
              </w:rPr>
              <w:t>EQ</w:t>
            </w:r>
            <w:r w:rsidRPr="002460E2">
              <w:rPr>
                <w:sz w:val="18"/>
                <w:szCs w:val="18"/>
                <w:lang w:val="ro-MD" w:eastAsia="en-US"/>
              </w:rPr>
              <w:t> în </w:t>
            </w:r>
            <w:r w:rsidRPr="002460E2">
              <w:rPr>
                <w:i/>
                <w:iCs/>
                <w:sz w:val="18"/>
                <w:szCs w:val="18"/>
                <w:lang w:val="ro-MD" w:eastAsia="en-US"/>
              </w:rPr>
              <w:t>V</w:t>
            </w:r>
            <w:r w:rsidRPr="002460E2">
              <w:rPr>
                <w:i/>
                <w:iCs/>
                <w:sz w:val="18"/>
                <w:szCs w:val="18"/>
                <w:vertAlign w:val="subscript"/>
                <w:lang w:val="ro-MD" w:eastAsia="en-US"/>
              </w:rPr>
              <w:t>CVA</w:t>
            </w:r>
            <w:r w:rsidRPr="002460E2">
              <w:rPr>
                <w:sz w:val="18"/>
                <w:szCs w:val="18"/>
                <w:lang w:val="ro-MD" w:eastAsia="en-US"/>
              </w:rPr>
              <w:t>;</w:t>
            </w:r>
          </w:p>
          <w:p w14:paraId="6A71DCDF" w14:textId="77777777" w:rsidR="00592C8A" w:rsidRPr="002460E2" w:rsidRDefault="00592C8A" w:rsidP="00592C8A">
            <w:pPr>
              <w:tabs>
                <w:tab w:val="left" w:pos="993"/>
                <w:tab w:val="left" w:pos="1134"/>
              </w:tabs>
              <w:contextualSpacing/>
              <w:jc w:val="both"/>
              <w:rPr>
                <w:sz w:val="18"/>
                <w:szCs w:val="18"/>
                <w:lang w:val="ro-MD" w:eastAsia="en-US"/>
              </w:rPr>
            </w:pPr>
            <w:r w:rsidRPr="002460E2">
              <w:rPr>
                <w:i/>
                <w:iCs/>
                <w:noProof/>
                <w:sz w:val="18"/>
                <w:szCs w:val="18"/>
                <w:lang w:val="en-US" w:eastAsia="en-US"/>
              </w:rPr>
              <w:drawing>
                <wp:inline distT="0" distB="0" distL="0" distR="0" wp14:anchorId="0CD2178D" wp14:editId="72DE305F">
                  <wp:extent cx="683895" cy="254635"/>
                  <wp:effectExtent l="0" t="0" r="0" b="0"/>
                  <wp:docPr id="127" name="Pictur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sz w:val="18"/>
                <w:szCs w:val="18"/>
                <w:lang w:val="ro-MD" w:eastAsia="en-US"/>
              </w:rPr>
              <w:t>= sensibilitățile acoperirii eligibile i la un factor de risc de preț spot al titlurilor de capital;</w:t>
            </w:r>
          </w:p>
          <w:p w14:paraId="2D33453C" w14:textId="77777777" w:rsidR="00592C8A" w:rsidRPr="002460E2" w:rsidRDefault="00592C8A" w:rsidP="00592C8A">
            <w:pPr>
              <w:tabs>
                <w:tab w:val="left" w:pos="993"/>
                <w:tab w:val="left" w:pos="1134"/>
              </w:tabs>
              <w:contextualSpacing/>
              <w:jc w:val="both"/>
              <w:rPr>
                <w:sz w:val="18"/>
                <w:szCs w:val="18"/>
                <w:lang w:val="ro-MD" w:eastAsia="en-US"/>
              </w:rPr>
            </w:pPr>
            <w:r w:rsidRPr="002460E2">
              <w:rPr>
                <w:rFonts w:eastAsiaTheme="minorHAnsi"/>
                <w:i/>
                <w:iCs/>
                <w:color w:val="000000"/>
                <w:sz w:val="18"/>
                <w:szCs w:val="18"/>
                <w:shd w:val="clear" w:color="auto" w:fill="FFFFFF"/>
                <w:lang w:val="en-US" w:eastAsia="en-US"/>
              </w:rPr>
              <w:t>V</w:t>
            </w:r>
            <w:r w:rsidRPr="002460E2">
              <w:rPr>
                <w:rFonts w:eastAsiaTheme="minorHAnsi"/>
                <w:i/>
                <w:iCs/>
                <w:color w:val="000000"/>
                <w:sz w:val="18"/>
                <w:szCs w:val="18"/>
                <w:shd w:val="clear" w:color="auto" w:fill="FFFFFF"/>
                <w:vertAlign w:val="subscript"/>
                <w:lang w:val="en-US" w:eastAsia="en-US"/>
              </w:rPr>
              <w:t xml:space="preserve">i  </w:t>
            </w:r>
            <w:r w:rsidRPr="002460E2">
              <w:rPr>
                <w:rFonts w:eastAsiaTheme="minorHAnsi"/>
                <w:color w:val="000000"/>
                <w:sz w:val="18"/>
                <w:szCs w:val="18"/>
                <w:shd w:val="clear" w:color="auto" w:fill="FFFFFF"/>
                <w:lang w:val="en-US" w:eastAsia="en-US"/>
              </w:rPr>
              <w:t xml:space="preserve">= </w:t>
            </w:r>
            <w:bookmarkStart w:id="8" w:name="_Hlk197528072"/>
            <w:r w:rsidRPr="002460E2">
              <w:rPr>
                <w:sz w:val="18"/>
                <w:szCs w:val="18"/>
                <w:lang w:val="ro-MD" w:eastAsia="en-US"/>
              </w:rPr>
              <w:t>funcția de evaluare a acoperirii eligibile i;</w:t>
            </w:r>
            <w:bookmarkEnd w:id="8"/>
          </w:p>
          <w:p w14:paraId="22F3C9B1" w14:textId="77777777" w:rsidR="00592C8A" w:rsidRPr="002460E2" w:rsidRDefault="00592C8A" w:rsidP="00592C8A">
            <w:pPr>
              <w:tabs>
                <w:tab w:val="left" w:pos="993"/>
                <w:tab w:val="left" w:pos="1134"/>
              </w:tabs>
              <w:contextualSpacing/>
              <w:jc w:val="both"/>
              <w:rPr>
                <w:sz w:val="18"/>
                <w:szCs w:val="18"/>
                <w:lang w:val="ro-MD" w:eastAsia="en-US"/>
              </w:rPr>
            </w:pPr>
            <w:r w:rsidRPr="002460E2">
              <w:rPr>
                <w:sz w:val="18"/>
                <w:szCs w:val="18"/>
                <w:lang w:val="ro-MD" w:eastAsia="en-US"/>
              </w:rPr>
              <w:t>w, z = alți factori de risc decât </w:t>
            </w:r>
            <w:r w:rsidRPr="002460E2">
              <w:rPr>
                <w:i/>
                <w:iCs/>
                <w:sz w:val="18"/>
                <w:szCs w:val="18"/>
                <w:lang w:val="ro-MD" w:eastAsia="en-US"/>
              </w:rPr>
              <w:t>EQ</w:t>
            </w:r>
            <w:r w:rsidRPr="002460E2">
              <w:rPr>
                <w:sz w:val="18"/>
                <w:szCs w:val="18"/>
                <w:lang w:val="ro-MD" w:eastAsia="en-US"/>
              </w:rPr>
              <w:t> din funcția de evaluare </w:t>
            </w:r>
            <w:r w:rsidRPr="002460E2">
              <w:rPr>
                <w:i/>
                <w:iCs/>
                <w:sz w:val="18"/>
                <w:szCs w:val="18"/>
                <w:lang w:val="ro-MD" w:eastAsia="en-US"/>
              </w:rPr>
              <w:t>V</w:t>
            </w:r>
            <w:r w:rsidRPr="002460E2">
              <w:rPr>
                <w:i/>
                <w:iCs/>
                <w:sz w:val="18"/>
                <w:szCs w:val="18"/>
                <w:vertAlign w:val="subscript"/>
                <w:lang w:val="ro-MD" w:eastAsia="en-US"/>
              </w:rPr>
              <w:t>i</w:t>
            </w:r>
            <w:r w:rsidRPr="002460E2">
              <w:rPr>
                <w:i/>
                <w:iCs/>
                <w:sz w:val="18"/>
                <w:szCs w:val="18"/>
                <w:lang w:val="ro-MD" w:eastAsia="en-US"/>
              </w:rPr>
              <w:t> </w:t>
            </w:r>
            <w:r w:rsidRPr="002460E2">
              <w:rPr>
                <w:sz w:val="18"/>
                <w:szCs w:val="18"/>
                <w:lang w:val="ro-MD" w:eastAsia="en-US"/>
              </w:rPr>
              <w:t>.</w:t>
            </w:r>
          </w:p>
          <w:p w14:paraId="50321214" w14:textId="77777777" w:rsidR="008D7F28" w:rsidRPr="002460E2" w:rsidRDefault="008D7F28" w:rsidP="008D7F28">
            <w:pPr>
              <w:jc w:val="center"/>
              <w:rPr>
                <w:bCs/>
                <w:i/>
                <w:iCs/>
                <w:sz w:val="18"/>
                <w:szCs w:val="18"/>
                <w:lang w:val="ro-MD" w:eastAsia="en-US"/>
              </w:rPr>
            </w:pPr>
          </w:p>
        </w:tc>
        <w:tc>
          <w:tcPr>
            <w:tcW w:w="1229" w:type="dxa"/>
          </w:tcPr>
          <w:p w14:paraId="2BEC5D69" w14:textId="0EA3767F"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12D6DC63" w14:textId="77777777" w:rsidR="008D7F28" w:rsidRPr="002460E2" w:rsidRDefault="008D7F28" w:rsidP="008D7F28">
            <w:pPr>
              <w:jc w:val="both"/>
              <w:rPr>
                <w:sz w:val="18"/>
                <w:szCs w:val="18"/>
                <w:lang w:val="ro-MD"/>
              </w:rPr>
            </w:pPr>
          </w:p>
        </w:tc>
      </w:tr>
      <w:tr w:rsidR="008D7F28" w:rsidRPr="002460E2" w14:paraId="4E23F6F7" w14:textId="77777777" w:rsidTr="003F5B3C">
        <w:trPr>
          <w:trHeight w:val="918"/>
        </w:trPr>
        <w:tc>
          <w:tcPr>
            <w:tcW w:w="4253" w:type="dxa"/>
          </w:tcPr>
          <w:p w14:paraId="6C84A858" w14:textId="40F9106C" w:rsidR="008D7F28" w:rsidRPr="002460E2" w:rsidRDefault="008D7F28" w:rsidP="008D7F28">
            <w:pPr>
              <w:rPr>
                <w:sz w:val="18"/>
                <w:szCs w:val="18"/>
                <w:lang w:val="en-US"/>
              </w:rPr>
            </w:pPr>
            <w:r w:rsidRPr="002460E2">
              <w:rPr>
                <w:sz w:val="18"/>
                <w:szCs w:val="18"/>
                <w:lang w:val="en-US"/>
              </w:rPr>
              <w:lastRenderedPageBreak/>
              <w:t>(6) Instituțiile calculează sensibilitățile delta ale CVA agregate la factorii de risc care constau în prețurile spot ale mărfurilor, precum și ale unui instrument de acoperire eligibil la acești factori de risc după cum urmează:</w:t>
            </w:r>
          </w:p>
          <w:p w14:paraId="383B2165" w14:textId="77777777" w:rsidR="008D7F28" w:rsidRPr="002460E2" w:rsidRDefault="008D7F28" w:rsidP="008D7F28">
            <w:pPr>
              <w:rPr>
                <w:sz w:val="18"/>
                <w:szCs w:val="18"/>
              </w:rPr>
            </w:pPr>
            <w:r w:rsidRPr="002460E2">
              <w:rPr>
                <w:noProof/>
                <w:sz w:val="18"/>
                <w:szCs w:val="18"/>
              </w:rPr>
              <w:drawing>
                <wp:inline distT="0" distB="0" distL="0" distR="0" wp14:anchorId="62E607F2" wp14:editId="0BEF0C7D">
                  <wp:extent cx="2196737" cy="269310"/>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0963" cy="279636"/>
                          </a:xfrm>
                          <a:prstGeom prst="rect">
                            <a:avLst/>
                          </a:prstGeom>
                          <a:noFill/>
                          <a:ln>
                            <a:noFill/>
                          </a:ln>
                        </pic:spPr>
                      </pic:pic>
                    </a:graphicData>
                  </a:graphic>
                </wp:inline>
              </w:drawing>
            </w:r>
          </w:p>
          <w:p w14:paraId="4F7CE90C" w14:textId="77777777" w:rsidR="008D7F28" w:rsidRPr="002460E2" w:rsidRDefault="008D7F28" w:rsidP="008D7F28">
            <w:pPr>
              <w:rPr>
                <w:sz w:val="18"/>
                <w:szCs w:val="18"/>
              </w:rPr>
            </w:pPr>
            <w:r w:rsidRPr="002460E2">
              <w:rPr>
                <w:noProof/>
                <w:sz w:val="18"/>
                <w:szCs w:val="18"/>
              </w:rPr>
              <w:drawing>
                <wp:inline distT="0" distB="0" distL="0" distR="0" wp14:anchorId="7E7987B5" wp14:editId="0F214F62">
                  <wp:extent cx="2173800" cy="243840"/>
                  <wp:effectExtent l="0" t="0" r="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4927" cy="258549"/>
                          </a:xfrm>
                          <a:prstGeom prst="rect">
                            <a:avLst/>
                          </a:prstGeom>
                          <a:noFill/>
                          <a:ln>
                            <a:noFill/>
                          </a:ln>
                        </pic:spPr>
                      </pic:pic>
                    </a:graphicData>
                  </a:graphic>
                </wp:inline>
              </w:drawing>
            </w:r>
          </w:p>
          <w:p w14:paraId="06054489" w14:textId="77777777" w:rsidR="008D7F28" w:rsidRPr="002460E2" w:rsidRDefault="008D7F28" w:rsidP="008D7F28">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375"/>
              <w:gridCol w:w="3662"/>
            </w:tblGrid>
            <w:tr w:rsidR="008D7F28" w:rsidRPr="002460E2" w14:paraId="5088A98D" w14:textId="77777777" w:rsidTr="005E4B33">
              <w:tc>
                <w:tcPr>
                  <w:tcW w:w="848" w:type="dxa"/>
                  <w:shd w:val="clear" w:color="auto" w:fill="auto"/>
                  <w:hideMark/>
                </w:tcPr>
                <w:p w14:paraId="1322E0B6" w14:textId="77777777" w:rsidR="008D7F28" w:rsidRPr="002460E2" w:rsidRDefault="008D7F28" w:rsidP="008D7F28">
                  <w:pPr>
                    <w:rPr>
                      <w:sz w:val="18"/>
                      <w:szCs w:val="18"/>
                    </w:rPr>
                  </w:pPr>
                  <w:r w:rsidRPr="002460E2">
                    <w:rPr>
                      <w:noProof/>
                      <w:sz w:val="18"/>
                      <w:szCs w:val="18"/>
                    </w:rPr>
                    <w:drawing>
                      <wp:inline distT="0" distB="0" distL="0" distR="0" wp14:anchorId="2927B0C6" wp14:editId="599C1CCB">
                        <wp:extent cx="200416" cy="133508"/>
                        <wp:effectExtent l="0" t="0" r="9525"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173" cy="145337"/>
                                </a:xfrm>
                                <a:prstGeom prst="rect">
                                  <a:avLst/>
                                </a:prstGeom>
                                <a:noFill/>
                                <a:ln>
                                  <a:noFill/>
                                </a:ln>
                              </pic:spPr>
                            </pic:pic>
                          </a:graphicData>
                        </a:graphic>
                      </wp:inline>
                    </w:drawing>
                  </w:r>
                </w:p>
              </w:tc>
              <w:tc>
                <w:tcPr>
                  <w:tcW w:w="8507" w:type="dxa"/>
                  <w:shd w:val="clear" w:color="auto" w:fill="auto"/>
                  <w:hideMark/>
                </w:tcPr>
                <w:p w14:paraId="3C136EA6" w14:textId="77777777" w:rsidR="008D7F28" w:rsidRPr="002460E2" w:rsidRDefault="008D7F28" w:rsidP="008D7F28">
                  <w:pPr>
                    <w:rPr>
                      <w:sz w:val="18"/>
                      <w:szCs w:val="18"/>
                      <w:lang w:val="en-US"/>
                    </w:rPr>
                  </w:pPr>
                  <w:r w:rsidRPr="002460E2">
                    <w:rPr>
                      <w:sz w:val="18"/>
                      <w:szCs w:val="18"/>
                      <w:lang w:val="en-US"/>
                    </w:rPr>
                    <w:t>= sensibilitățile CVA agregate la un factor de risc de preț spot al mărfurilor;</w:t>
                  </w:r>
                </w:p>
              </w:tc>
            </w:tr>
          </w:tbl>
          <w:p w14:paraId="25DD587F"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73"/>
              <w:gridCol w:w="3664"/>
            </w:tblGrid>
            <w:tr w:rsidR="008D7F28" w:rsidRPr="002460E2" w14:paraId="26A0F76F" w14:textId="77777777" w:rsidTr="005E4B33">
              <w:tc>
                <w:tcPr>
                  <w:tcW w:w="843" w:type="dxa"/>
                  <w:shd w:val="clear" w:color="auto" w:fill="auto"/>
                  <w:hideMark/>
                </w:tcPr>
                <w:p w14:paraId="3798C48C" w14:textId="77777777" w:rsidR="008D7F28" w:rsidRPr="002460E2" w:rsidRDefault="008D7F28" w:rsidP="008D7F28">
                  <w:pPr>
                    <w:rPr>
                      <w:sz w:val="18"/>
                      <w:szCs w:val="18"/>
                    </w:rPr>
                  </w:pPr>
                  <w:r w:rsidRPr="002460E2">
                    <w:rPr>
                      <w:i/>
                      <w:iCs/>
                      <w:sz w:val="18"/>
                      <w:szCs w:val="18"/>
                    </w:rPr>
                    <w:t>CTY</w:t>
                  </w:r>
                </w:p>
              </w:tc>
              <w:tc>
                <w:tcPr>
                  <w:tcW w:w="8512" w:type="dxa"/>
                  <w:shd w:val="clear" w:color="auto" w:fill="auto"/>
                  <w:hideMark/>
                </w:tcPr>
                <w:p w14:paraId="7AB9027A" w14:textId="77777777" w:rsidR="008D7F28" w:rsidRPr="002460E2" w:rsidRDefault="008D7F28" w:rsidP="008D7F28">
                  <w:pPr>
                    <w:rPr>
                      <w:sz w:val="18"/>
                      <w:szCs w:val="18"/>
                      <w:lang w:val="en-US"/>
                    </w:rPr>
                  </w:pPr>
                  <w:r w:rsidRPr="002460E2">
                    <w:rPr>
                      <w:sz w:val="18"/>
                      <w:szCs w:val="18"/>
                      <w:lang w:val="en-US"/>
                    </w:rPr>
                    <w:t>= valoarea prețului spot al mărfurilor;</w:t>
                  </w:r>
                </w:p>
              </w:tc>
            </w:tr>
          </w:tbl>
          <w:p w14:paraId="08413392" w14:textId="77777777" w:rsidR="008D7F28" w:rsidRPr="002460E2" w:rsidRDefault="008D7F28" w:rsidP="008D7F28">
            <w:pPr>
              <w:rPr>
                <w:vanish/>
                <w:sz w:val="18"/>
                <w:szCs w:val="18"/>
              </w:rPr>
            </w:pPr>
          </w:p>
          <w:tbl>
            <w:tblPr>
              <w:tblW w:w="4913" w:type="dxa"/>
              <w:tblLayout w:type="fixed"/>
              <w:tblCellMar>
                <w:left w:w="0" w:type="dxa"/>
                <w:right w:w="0" w:type="dxa"/>
              </w:tblCellMar>
              <w:tblLook w:val="04A0" w:firstRow="1" w:lastRow="0" w:firstColumn="1" w:lastColumn="0" w:noHBand="0" w:noVBand="1"/>
            </w:tblPr>
            <w:tblGrid>
              <w:gridCol w:w="291"/>
              <w:gridCol w:w="4622"/>
            </w:tblGrid>
            <w:tr w:rsidR="008D7F28" w:rsidRPr="002460E2" w14:paraId="43DB15B0" w14:textId="77777777" w:rsidTr="00AE3D98">
              <w:trPr>
                <w:trHeight w:val="437"/>
              </w:trPr>
              <w:tc>
                <w:tcPr>
                  <w:tcW w:w="291" w:type="dxa"/>
                  <w:shd w:val="clear" w:color="auto" w:fill="auto"/>
                  <w:hideMark/>
                </w:tcPr>
                <w:p w14:paraId="48641E23"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4622" w:type="dxa"/>
                  <w:shd w:val="clear" w:color="auto" w:fill="auto"/>
                  <w:hideMark/>
                </w:tcPr>
                <w:p w14:paraId="0C12A5A7"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43E50419" w14:textId="121A0A87" w:rsidR="008D7F28" w:rsidRPr="002460E2" w:rsidRDefault="008D7F28" w:rsidP="008D7F28">
                  <w:pPr>
                    <w:rPr>
                      <w:sz w:val="18"/>
                      <w:szCs w:val="18"/>
                      <w:lang w:val="en-US"/>
                    </w:rPr>
                  </w:pPr>
                  <w:r w:rsidRPr="002460E2">
                    <w:rPr>
                      <w:sz w:val="18"/>
                      <w:szCs w:val="18"/>
                      <w:lang w:val="en-US"/>
                    </w:rPr>
                    <w:t xml:space="preserve"> reglementară;</w:t>
                  </w:r>
                </w:p>
              </w:tc>
            </w:tr>
          </w:tbl>
          <w:p w14:paraId="46DBDC46"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89"/>
              <w:gridCol w:w="3748"/>
            </w:tblGrid>
            <w:tr w:rsidR="008D7F28" w:rsidRPr="002460E2" w14:paraId="635F3D9E" w14:textId="77777777" w:rsidTr="005E4B33">
              <w:tc>
                <w:tcPr>
                  <w:tcW w:w="648" w:type="dxa"/>
                  <w:shd w:val="clear" w:color="auto" w:fill="auto"/>
                  <w:hideMark/>
                </w:tcPr>
                <w:p w14:paraId="7B9E5360" w14:textId="77777777" w:rsidR="008D7F28" w:rsidRPr="002460E2" w:rsidRDefault="008D7F28" w:rsidP="008D7F28">
                  <w:pPr>
                    <w:rPr>
                      <w:sz w:val="18"/>
                      <w:szCs w:val="18"/>
                    </w:rPr>
                  </w:pPr>
                  <w:r w:rsidRPr="002460E2">
                    <w:rPr>
                      <w:i/>
                      <w:iCs/>
                      <w:sz w:val="18"/>
                      <w:szCs w:val="18"/>
                    </w:rPr>
                    <w:t>x,y</w:t>
                  </w:r>
                </w:p>
              </w:tc>
              <w:tc>
                <w:tcPr>
                  <w:tcW w:w="8707" w:type="dxa"/>
                  <w:shd w:val="clear" w:color="auto" w:fill="auto"/>
                  <w:hideMark/>
                </w:tcPr>
                <w:p w14:paraId="03F183F0"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CTY</w:t>
                  </w:r>
                  <w:r w:rsidRPr="002460E2">
                    <w:rPr>
                      <w:sz w:val="18"/>
                      <w:szCs w:val="18"/>
                      <w:lang w:val="en-US"/>
                    </w:rPr>
                    <w:t> în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57CBAF6A"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654"/>
              <w:gridCol w:w="3383"/>
            </w:tblGrid>
            <w:tr w:rsidR="008D7F28" w:rsidRPr="002460E2" w14:paraId="28D6E290" w14:textId="77777777" w:rsidTr="005E4B33">
              <w:tc>
                <w:tcPr>
                  <w:tcW w:w="1497" w:type="dxa"/>
                  <w:shd w:val="clear" w:color="auto" w:fill="auto"/>
                  <w:hideMark/>
                </w:tcPr>
                <w:p w14:paraId="3C154741" w14:textId="77777777" w:rsidR="008D7F28" w:rsidRPr="002460E2" w:rsidRDefault="008D7F28" w:rsidP="008D7F28">
                  <w:pPr>
                    <w:rPr>
                      <w:sz w:val="18"/>
                      <w:szCs w:val="18"/>
                    </w:rPr>
                  </w:pPr>
                  <w:r w:rsidRPr="002460E2">
                    <w:rPr>
                      <w:noProof/>
                      <w:sz w:val="18"/>
                      <w:szCs w:val="18"/>
                    </w:rPr>
                    <w:drawing>
                      <wp:inline distT="0" distB="0" distL="0" distR="0" wp14:anchorId="3506C8AA" wp14:editId="2DF7D122">
                        <wp:extent cx="372191" cy="137787"/>
                        <wp:effectExtent l="0" t="0" r="0"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7351" cy="147101"/>
                                </a:xfrm>
                                <a:prstGeom prst="rect">
                                  <a:avLst/>
                                </a:prstGeom>
                                <a:noFill/>
                                <a:ln>
                                  <a:noFill/>
                                </a:ln>
                              </pic:spPr>
                            </pic:pic>
                          </a:graphicData>
                        </a:graphic>
                      </wp:inline>
                    </w:drawing>
                  </w:r>
                </w:p>
              </w:tc>
              <w:tc>
                <w:tcPr>
                  <w:tcW w:w="7858" w:type="dxa"/>
                  <w:shd w:val="clear" w:color="auto" w:fill="auto"/>
                  <w:hideMark/>
                </w:tcPr>
                <w:p w14:paraId="175B68F9" w14:textId="77777777" w:rsidR="008D7F28" w:rsidRPr="002460E2" w:rsidRDefault="008D7F28" w:rsidP="008D7F28">
                  <w:pPr>
                    <w:rPr>
                      <w:sz w:val="18"/>
                      <w:szCs w:val="18"/>
                      <w:lang w:val="en-US"/>
                    </w:rPr>
                  </w:pPr>
                  <w:r w:rsidRPr="002460E2">
                    <w:rPr>
                      <w:sz w:val="18"/>
                      <w:szCs w:val="18"/>
                      <w:lang w:val="en-US"/>
                    </w:rPr>
                    <w:t>= sensibilitățile acoperirii eligibile i la un factor de risc de preț spot al mărfurilor;</w:t>
                  </w:r>
                </w:p>
              </w:tc>
            </w:tr>
          </w:tbl>
          <w:p w14:paraId="56BE7A70"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12DC0742" w14:textId="77777777" w:rsidTr="005E4B33">
              <w:tc>
                <w:tcPr>
                  <w:tcW w:w="370" w:type="dxa"/>
                  <w:shd w:val="clear" w:color="auto" w:fill="auto"/>
                  <w:hideMark/>
                </w:tcPr>
                <w:p w14:paraId="646C0981"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1FB58C82"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1E0F3304" w14:textId="77777777" w:rsidR="008D7F28" w:rsidRPr="002460E2" w:rsidRDefault="008D7F28" w:rsidP="008D7F28">
            <w:pPr>
              <w:rPr>
                <w:vanish/>
                <w:sz w:val="18"/>
                <w:szCs w:val="18"/>
              </w:rPr>
            </w:pPr>
          </w:p>
          <w:tbl>
            <w:tblPr>
              <w:tblW w:w="4157" w:type="dxa"/>
              <w:tblLayout w:type="fixed"/>
              <w:tblCellMar>
                <w:left w:w="0" w:type="dxa"/>
                <w:right w:w="0" w:type="dxa"/>
              </w:tblCellMar>
              <w:tblLook w:val="04A0" w:firstRow="1" w:lastRow="0" w:firstColumn="1" w:lastColumn="0" w:noHBand="0" w:noVBand="1"/>
            </w:tblPr>
            <w:tblGrid>
              <w:gridCol w:w="237"/>
              <w:gridCol w:w="3920"/>
            </w:tblGrid>
            <w:tr w:rsidR="008D7F28" w:rsidRPr="002460E2" w14:paraId="6DE0C4AD" w14:textId="77777777" w:rsidTr="00CC06C1">
              <w:trPr>
                <w:trHeight w:val="434"/>
              </w:trPr>
              <w:tc>
                <w:tcPr>
                  <w:tcW w:w="237" w:type="dxa"/>
                  <w:shd w:val="clear" w:color="auto" w:fill="auto"/>
                  <w:hideMark/>
                </w:tcPr>
                <w:p w14:paraId="4824D13B" w14:textId="77777777" w:rsidR="008D7F28" w:rsidRPr="002460E2" w:rsidRDefault="008D7F28" w:rsidP="008D7F28">
                  <w:pPr>
                    <w:rPr>
                      <w:sz w:val="18"/>
                      <w:szCs w:val="18"/>
                    </w:rPr>
                  </w:pPr>
                  <w:r w:rsidRPr="002460E2">
                    <w:rPr>
                      <w:i/>
                      <w:iCs/>
                      <w:sz w:val="18"/>
                      <w:szCs w:val="18"/>
                    </w:rPr>
                    <w:t>w,z</w:t>
                  </w:r>
                </w:p>
              </w:tc>
              <w:tc>
                <w:tcPr>
                  <w:tcW w:w="3920" w:type="dxa"/>
                  <w:shd w:val="clear" w:color="auto" w:fill="auto"/>
                  <w:hideMark/>
                </w:tcPr>
                <w:p w14:paraId="477BA7CA"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CTY</w:t>
                  </w:r>
                  <w:r w:rsidRPr="002460E2">
                    <w:rPr>
                      <w:sz w:val="18"/>
                      <w:szCs w:val="18"/>
                      <w:lang w:val="en-US"/>
                    </w:rPr>
                    <w:t> 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75451323" w14:textId="38635DE0" w:rsidR="008D7F28" w:rsidRPr="002460E2" w:rsidRDefault="008D7F28" w:rsidP="008D7F28">
            <w:pPr>
              <w:autoSpaceDE w:val="0"/>
              <w:autoSpaceDN w:val="0"/>
              <w:adjustRightInd w:val="0"/>
              <w:spacing w:before="60" w:after="60"/>
              <w:rPr>
                <w:rFonts w:eastAsiaTheme="minorHAnsi"/>
                <w:i/>
                <w:iCs/>
                <w:color w:val="000000"/>
                <w:sz w:val="18"/>
                <w:szCs w:val="18"/>
                <w:lang w:val="ro-MD" w:eastAsia="en-US"/>
              </w:rPr>
            </w:pPr>
          </w:p>
        </w:tc>
        <w:tc>
          <w:tcPr>
            <w:tcW w:w="3685" w:type="dxa"/>
            <w:shd w:val="clear" w:color="auto" w:fill="auto"/>
          </w:tcPr>
          <w:p w14:paraId="34BAF2D4" w14:textId="58A69C6A" w:rsidR="00592C8A" w:rsidRPr="002460E2" w:rsidRDefault="00592C8A" w:rsidP="00BB6D4C">
            <w:pPr>
              <w:tabs>
                <w:tab w:val="left" w:pos="993"/>
                <w:tab w:val="left" w:pos="1134"/>
              </w:tabs>
              <w:contextualSpacing/>
              <w:jc w:val="both"/>
              <w:rPr>
                <w:sz w:val="18"/>
                <w:szCs w:val="18"/>
                <w:lang w:val="ro-MD" w:eastAsia="en-US"/>
              </w:rPr>
            </w:pPr>
            <w:r w:rsidRPr="002460E2">
              <w:rPr>
                <w:sz w:val="18"/>
                <w:szCs w:val="18"/>
                <w:lang w:val="ro-MD" w:eastAsia="en-US"/>
              </w:rPr>
              <w:t>6</w:t>
            </w:r>
            <w:r w:rsidR="00FB32FD" w:rsidRPr="002460E2">
              <w:rPr>
                <w:sz w:val="18"/>
                <w:szCs w:val="18"/>
                <w:lang w:val="ro-MD" w:eastAsia="en-US"/>
              </w:rPr>
              <w:t>8</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Băncile calculează sensibilitățile delta ale CVA agregate la factorii de risc care constau în prețurile spot ale mărfurilor, precum și ale unui instrument de acoperire eligibil la acești factori de risc după cum urmează:</w:t>
            </w:r>
          </w:p>
          <w:p w14:paraId="03028EC7" w14:textId="77777777" w:rsidR="00592C8A" w:rsidRPr="002460E2" w:rsidRDefault="00592C8A" w:rsidP="00592C8A">
            <w:pPr>
              <w:tabs>
                <w:tab w:val="left" w:pos="993"/>
                <w:tab w:val="left" w:pos="1134"/>
              </w:tabs>
              <w:ind w:left="720" w:firstLine="426"/>
              <w:contextualSpacing/>
              <w:jc w:val="both"/>
              <w:rPr>
                <w:sz w:val="18"/>
                <w:szCs w:val="18"/>
                <w:lang w:val="ro-MD" w:eastAsia="en-US"/>
              </w:rPr>
            </w:pPr>
            <w:r w:rsidRPr="002460E2">
              <w:rPr>
                <w:noProof/>
                <w:sz w:val="18"/>
                <w:szCs w:val="18"/>
                <w:lang w:val="ro-MD" w:eastAsia="en-US"/>
              </w:rPr>
              <w:drawing>
                <wp:inline distT="0" distB="0" distL="0" distR="0" wp14:anchorId="191B3198" wp14:editId="66AEC3D8">
                  <wp:extent cx="1575881" cy="193196"/>
                  <wp:effectExtent l="0" t="0" r="5715" b="0"/>
                  <wp:docPr id="129"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5537" cy="223803"/>
                          </a:xfrm>
                          <a:prstGeom prst="rect">
                            <a:avLst/>
                          </a:prstGeom>
                          <a:noFill/>
                          <a:ln>
                            <a:noFill/>
                          </a:ln>
                        </pic:spPr>
                      </pic:pic>
                    </a:graphicData>
                  </a:graphic>
                </wp:inline>
              </w:drawing>
            </w:r>
          </w:p>
          <w:p w14:paraId="142C2104" w14:textId="77777777" w:rsidR="00592C8A" w:rsidRPr="002460E2" w:rsidRDefault="00592C8A" w:rsidP="00592C8A">
            <w:pPr>
              <w:tabs>
                <w:tab w:val="left" w:pos="993"/>
                <w:tab w:val="left" w:pos="1134"/>
              </w:tabs>
              <w:ind w:left="720" w:firstLine="426"/>
              <w:contextualSpacing/>
              <w:jc w:val="both"/>
              <w:rPr>
                <w:sz w:val="18"/>
                <w:szCs w:val="18"/>
                <w:lang w:val="ro-MD" w:eastAsia="en-US"/>
              </w:rPr>
            </w:pPr>
            <w:r w:rsidRPr="002460E2">
              <w:rPr>
                <w:noProof/>
                <w:sz w:val="18"/>
                <w:szCs w:val="18"/>
                <w:lang w:val="ro-MD" w:eastAsia="en-US"/>
              </w:rPr>
              <w:drawing>
                <wp:inline distT="0" distB="0" distL="0" distR="0" wp14:anchorId="145121F8" wp14:editId="5931CDBD">
                  <wp:extent cx="1647690" cy="184825"/>
                  <wp:effectExtent l="0" t="0" r="0" b="5715"/>
                  <wp:docPr id="130"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1821" cy="189775"/>
                          </a:xfrm>
                          <a:prstGeom prst="rect">
                            <a:avLst/>
                          </a:prstGeom>
                          <a:noFill/>
                          <a:ln>
                            <a:noFill/>
                          </a:ln>
                        </pic:spPr>
                      </pic:pic>
                    </a:graphicData>
                  </a:graphic>
                </wp:inline>
              </w:drawing>
            </w:r>
          </w:p>
          <w:p w14:paraId="7BFB5D2F" w14:textId="77777777" w:rsidR="00592C8A" w:rsidRPr="002460E2" w:rsidRDefault="00592C8A" w:rsidP="00592C8A">
            <w:pPr>
              <w:tabs>
                <w:tab w:val="left" w:pos="993"/>
                <w:tab w:val="left" w:pos="1134"/>
              </w:tabs>
              <w:jc w:val="both"/>
              <w:rPr>
                <w:sz w:val="18"/>
                <w:szCs w:val="18"/>
                <w:lang w:val="ro-MD" w:eastAsia="en-US"/>
              </w:rPr>
            </w:pPr>
            <w:r w:rsidRPr="002460E2">
              <w:rPr>
                <w:sz w:val="18"/>
                <w:szCs w:val="18"/>
                <w:lang w:val="ro-MD" w:eastAsia="en-US"/>
              </w:rPr>
              <w:t>unde:</w:t>
            </w:r>
          </w:p>
          <w:p w14:paraId="7532D6E5" w14:textId="3347DC21" w:rsidR="00592C8A" w:rsidRPr="002460E2" w:rsidRDefault="00592C8A" w:rsidP="00592C8A">
            <w:pPr>
              <w:tabs>
                <w:tab w:val="left" w:pos="993"/>
                <w:tab w:val="left" w:pos="1134"/>
              </w:tabs>
              <w:jc w:val="both"/>
              <w:rPr>
                <w:sz w:val="18"/>
                <w:szCs w:val="18"/>
                <w:lang w:val="ro-MD" w:eastAsia="en-US"/>
              </w:rPr>
            </w:pPr>
            <w:r w:rsidRPr="002460E2">
              <w:rPr>
                <w:rFonts w:eastAsiaTheme="minorHAnsi"/>
                <w:noProof/>
                <w:sz w:val="18"/>
                <w:szCs w:val="18"/>
                <w:lang w:val="en-US" w:eastAsia="en-US"/>
              </w:rPr>
              <w:drawing>
                <wp:inline distT="0" distB="0" distL="0" distR="0" wp14:anchorId="2F5A42A1" wp14:editId="151A5D56">
                  <wp:extent cx="330835" cy="204470"/>
                  <wp:effectExtent l="0" t="0" r="0" b="5080"/>
                  <wp:docPr id="132" name="Pictur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0835" cy="204470"/>
                          </a:xfrm>
                          <a:prstGeom prst="rect">
                            <a:avLst/>
                          </a:prstGeom>
                          <a:noFill/>
                          <a:ln>
                            <a:noFill/>
                          </a:ln>
                        </pic:spPr>
                      </pic:pic>
                    </a:graphicData>
                  </a:graphic>
                </wp:inline>
              </w:drawing>
            </w:r>
            <w:r w:rsidRPr="002460E2">
              <w:rPr>
                <w:sz w:val="18"/>
                <w:szCs w:val="18"/>
                <w:lang w:val="ro-MD" w:eastAsia="en-US"/>
              </w:rPr>
              <w:t>= sensibilitățile CVA agregate la un factor de risc de preț spot al mărfurilor;</w:t>
            </w:r>
          </w:p>
          <w:p w14:paraId="3A6B1517" w14:textId="77777777" w:rsidR="00592C8A" w:rsidRPr="002460E2" w:rsidRDefault="00592C8A" w:rsidP="00592C8A">
            <w:pPr>
              <w:tabs>
                <w:tab w:val="left" w:pos="993"/>
                <w:tab w:val="left" w:pos="1134"/>
              </w:tabs>
              <w:jc w:val="both"/>
              <w:rPr>
                <w:sz w:val="18"/>
                <w:szCs w:val="18"/>
                <w:lang w:val="ro-MD" w:eastAsia="en-US"/>
              </w:rPr>
            </w:pPr>
            <w:r w:rsidRPr="002460E2">
              <w:rPr>
                <w:i/>
                <w:iCs/>
                <w:sz w:val="18"/>
                <w:szCs w:val="18"/>
                <w:lang w:val="ro-MD" w:eastAsia="en-US"/>
              </w:rPr>
              <w:t>CTY</w:t>
            </w:r>
            <w:r w:rsidRPr="002460E2">
              <w:rPr>
                <w:sz w:val="18"/>
                <w:szCs w:val="18"/>
                <w:lang w:val="ro-MD" w:eastAsia="en-US"/>
              </w:rPr>
              <w:t xml:space="preserve"> = valoarea prețului spot al mărfurilor;</w:t>
            </w:r>
          </w:p>
          <w:p w14:paraId="3914DD9C" w14:textId="77777777" w:rsidR="00592C8A" w:rsidRPr="002460E2" w:rsidRDefault="00592C8A" w:rsidP="00592C8A">
            <w:pPr>
              <w:tabs>
                <w:tab w:val="left" w:pos="993"/>
                <w:tab w:val="left" w:pos="1134"/>
              </w:tabs>
              <w:jc w:val="both"/>
              <w:rPr>
                <w:sz w:val="18"/>
                <w:szCs w:val="18"/>
                <w:lang w:val="ro-MD" w:eastAsia="en-US"/>
              </w:rPr>
            </w:pPr>
            <w:r w:rsidRPr="002460E2">
              <w:rPr>
                <w:i/>
                <w:iCs/>
                <w:sz w:val="18"/>
                <w:szCs w:val="18"/>
                <w:lang w:val="en-US" w:eastAsia="en-US"/>
              </w:rPr>
              <w:t>V</w:t>
            </w:r>
            <w:r w:rsidRPr="002460E2">
              <w:rPr>
                <w:i/>
                <w:iCs/>
                <w:sz w:val="18"/>
                <w:szCs w:val="18"/>
                <w:vertAlign w:val="subscript"/>
                <w:lang w:val="en-US" w:eastAsia="en-US"/>
              </w:rPr>
              <w:t xml:space="preserve">CVA </w:t>
            </w:r>
            <w:r w:rsidRPr="002460E2">
              <w:rPr>
                <w:i/>
                <w:iCs/>
                <w:sz w:val="18"/>
                <w:szCs w:val="18"/>
                <w:lang w:val="en-US" w:eastAsia="en-US"/>
              </w:rPr>
              <w:t xml:space="preserve">= </w:t>
            </w:r>
            <w:r w:rsidRPr="002460E2">
              <w:rPr>
                <w:sz w:val="18"/>
                <w:szCs w:val="18"/>
                <w:lang w:val="ro-MD" w:eastAsia="en-US"/>
              </w:rPr>
              <w:t>CVA agregată calculată pe baza modelului de CVA reglementară;</w:t>
            </w:r>
          </w:p>
          <w:p w14:paraId="708683BC" w14:textId="77777777" w:rsidR="00592C8A" w:rsidRPr="002460E2" w:rsidRDefault="00592C8A" w:rsidP="00592C8A">
            <w:pPr>
              <w:tabs>
                <w:tab w:val="left" w:pos="993"/>
                <w:tab w:val="left" w:pos="1134"/>
              </w:tabs>
              <w:jc w:val="both"/>
              <w:rPr>
                <w:sz w:val="18"/>
                <w:szCs w:val="18"/>
                <w:lang w:val="ro-MD" w:eastAsia="en-US"/>
              </w:rPr>
            </w:pPr>
            <w:r w:rsidRPr="002460E2">
              <w:rPr>
                <w:i/>
                <w:iCs/>
                <w:sz w:val="18"/>
                <w:szCs w:val="18"/>
                <w:lang w:val="ro-MD" w:eastAsia="en-US"/>
              </w:rPr>
              <w:t>x, y</w:t>
            </w:r>
            <w:r w:rsidRPr="002460E2">
              <w:rPr>
                <w:sz w:val="18"/>
                <w:szCs w:val="18"/>
                <w:lang w:val="ro-MD" w:eastAsia="en-US"/>
              </w:rPr>
              <w:t xml:space="preserve"> = alți factori de risc decât </w:t>
            </w:r>
            <w:r w:rsidRPr="002460E2">
              <w:rPr>
                <w:i/>
                <w:iCs/>
                <w:sz w:val="18"/>
                <w:szCs w:val="18"/>
                <w:lang w:val="ro-MD" w:eastAsia="en-US"/>
              </w:rPr>
              <w:t>CTY</w:t>
            </w:r>
            <w:r w:rsidRPr="002460E2">
              <w:rPr>
                <w:sz w:val="18"/>
                <w:szCs w:val="18"/>
                <w:lang w:val="ro-MD" w:eastAsia="en-US"/>
              </w:rPr>
              <w:t> în </w:t>
            </w:r>
            <w:r w:rsidRPr="002460E2">
              <w:rPr>
                <w:i/>
                <w:iCs/>
                <w:sz w:val="18"/>
                <w:szCs w:val="18"/>
                <w:lang w:val="ro-MD" w:eastAsia="en-US"/>
              </w:rPr>
              <w:t>V</w:t>
            </w:r>
            <w:r w:rsidRPr="002460E2">
              <w:rPr>
                <w:i/>
                <w:iCs/>
                <w:sz w:val="18"/>
                <w:szCs w:val="18"/>
                <w:vertAlign w:val="subscript"/>
                <w:lang w:val="ro-MD" w:eastAsia="en-US"/>
              </w:rPr>
              <w:t>CVA</w:t>
            </w:r>
            <w:r w:rsidRPr="002460E2">
              <w:rPr>
                <w:i/>
                <w:iCs/>
                <w:sz w:val="18"/>
                <w:szCs w:val="18"/>
                <w:lang w:val="ro-MD" w:eastAsia="en-US"/>
              </w:rPr>
              <w:t> </w:t>
            </w:r>
            <w:r w:rsidRPr="002460E2">
              <w:rPr>
                <w:sz w:val="18"/>
                <w:szCs w:val="18"/>
                <w:lang w:val="ro-MD" w:eastAsia="en-US"/>
              </w:rPr>
              <w:t>;</w:t>
            </w:r>
          </w:p>
          <w:p w14:paraId="7378A9DF" w14:textId="77777777" w:rsidR="00592C8A" w:rsidRPr="002460E2" w:rsidRDefault="00592C8A" w:rsidP="00592C8A">
            <w:pPr>
              <w:tabs>
                <w:tab w:val="left" w:pos="993"/>
                <w:tab w:val="left" w:pos="1134"/>
              </w:tabs>
              <w:jc w:val="both"/>
              <w:rPr>
                <w:sz w:val="18"/>
                <w:szCs w:val="18"/>
                <w:lang w:val="ro-MD" w:eastAsia="en-US"/>
              </w:rPr>
            </w:pPr>
            <w:r w:rsidRPr="002460E2">
              <w:rPr>
                <w:rFonts w:eastAsiaTheme="minorHAnsi"/>
                <w:noProof/>
                <w:sz w:val="18"/>
                <w:szCs w:val="18"/>
                <w:lang w:val="en-US" w:eastAsia="en-US"/>
              </w:rPr>
              <w:drawing>
                <wp:inline distT="0" distB="0" distL="0" distR="0" wp14:anchorId="5A578DA2" wp14:editId="6BE1690C">
                  <wp:extent cx="683895" cy="254635"/>
                  <wp:effectExtent l="0" t="0" r="0" b="0"/>
                  <wp:docPr id="131" name="Pictur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sz w:val="18"/>
                <w:szCs w:val="18"/>
                <w:lang w:val="ro-MD" w:eastAsia="en-US"/>
              </w:rPr>
              <w:t>= sensibilitățile acoperirii eligibile i la un factor de risc de preț spot al mărfurilor;</w:t>
            </w:r>
          </w:p>
          <w:p w14:paraId="7719C379" w14:textId="77777777" w:rsidR="00592C8A" w:rsidRPr="002460E2" w:rsidRDefault="00592C8A" w:rsidP="00592C8A">
            <w:pPr>
              <w:tabs>
                <w:tab w:val="left" w:pos="993"/>
                <w:tab w:val="left" w:pos="1134"/>
              </w:tabs>
              <w:jc w:val="both"/>
              <w:rPr>
                <w:sz w:val="18"/>
                <w:szCs w:val="18"/>
                <w:lang w:val="ro-MD" w:eastAsia="en-US"/>
              </w:rPr>
            </w:pPr>
            <w:r w:rsidRPr="002460E2">
              <w:rPr>
                <w:i/>
                <w:iCs/>
                <w:sz w:val="18"/>
                <w:szCs w:val="18"/>
                <w:lang w:val="ro-MD" w:eastAsia="en-US"/>
              </w:rPr>
              <w:t>V</w:t>
            </w:r>
            <w:r w:rsidRPr="002460E2">
              <w:rPr>
                <w:i/>
                <w:iCs/>
                <w:sz w:val="18"/>
                <w:szCs w:val="18"/>
                <w:vertAlign w:val="subscript"/>
                <w:lang w:val="ro-MD" w:eastAsia="en-US"/>
              </w:rPr>
              <w:t xml:space="preserve">i = </w:t>
            </w:r>
            <w:r w:rsidRPr="002460E2">
              <w:rPr>
                <w:sz w:val="18"/>
                <w:szCs w:val="18"/>
                <w:lang w:val="ro-MD" w:eastAsia="en-US"/>
              </w:rPr>
              <w:t>funcția de evaluare a acoperirii eligibile i;</w:t>
            </w:r>
          </w:p>
          <w:p w14:paraId="326CF5B7" w14:textId="77777777" w:rsidR="00592C8A" w:rsidRPr="002460E2" w:rsidRDefault="00592C8A" w:rsidP="00592C8A">
            <w:pPr>
              <w:tabs>
                <w:tab w:val="left" w:pos="993"/>
                <w:tab w:val="left" w:pos="1134"/>
              </w:tabs>
              <w:jc w:val="both"/>
              <w:rPr>
                <w:b/>
                <w:bCs/>
                <w:sz w:val="18"/>
                <w:szCs w:val="18"/>
                <w:lang w:val="ro-MD" w:eastAsia="en-US"/>
              </w:rPr>
            </w:pPr>
            <w:r w:rsidRPr="002460E2">
              <w:rPr>
                <w:sz w:val="18"/>
                <w:szCs w:val="18"/>
                <w:lang w:val="ro-MD" w:eastAsia="en-US"/>
              </w:rPr>
              <w:t>w, z = alți factori de risc decât </w:t>
            </w:r>
            <w:r w:rsidRPr="002460E2">
              <w:rPr>
                <w:i/>
                <w:iCs/>
                <w:sz w:val="18"/>
                <w:szCs w:val="18"/>
                <w:lang w:val="ro-MD" w:eastAsia="en-US"/>
              </w:rPr>
              <w:t>CTY</w:t>
            </w:r>
            <w:r w:rsidRPr="002460E2">
              <w:rPr>
                <w:sz w:val="18"/>
                <w:szCs w:val="18"/>
                <w:lang w:val="ro-MD" w:eastAsia="en-US"/>
              </w:rPr>
              <w:t> din funcția de evaluare </w:t>
            </w:r>
            <w:r w:rsidRPr="002460E2">
              <w:rPr>
                <w:i/>
                <w:iCs/>
                <w:sz w:val="18"/>
                <w:szCs w:val="18"/>
                <w:lang w:val="ro-MD" w:eastAsia="en-US"/>
              </w:rPr>
              <w:t>V</w:t>
            </w:r>
            <w:r w:rsidRPr="002460E2">
              <w:rPr>
                <w:i/>
                <w:iCs/>
                <w:sz w:val="18"/>
                <w:szCs w:val="18"/>
                <w:vertAlign w:val="subscript"/>
                <w:lang w:val="ro-MD" w:eastAsia="en-US"/>
              </w:rPr>
              <w:t>i</w:t>
            </w:r>
            <w:r w:rsidRPr="002460E2">
              <w:rPr>
                <w:i/>
                <w:iCs/>
                <w:sz w:val="18"/>
                <w:szCs w:val="18"/>
                <w:lang w:val="ro-MD" w:eastAsia="en-US"/>
              </w:rPr>
              <w:t> </w:t>
            </w:r>
            <w:r w:rsidRPr="002460E2">
              <w:rPr>
                <w:sz w:val="18"/>
                <w:szCs w:val="18"/>
                <w:lang w:val="ro-MD" w:eastAsia="en-US"/>
              </w:rPr>
              <w:t>.</w:t>
            </w:r>
          </w:p>
          <w:p w14:paraId="75FC2324" w14:textId="77777777" w:rsidR="008D7F28" w:rsidRPr="002460E2" w:rsidRDefault="008D7F28" w:rsidP="008D7F28">
            <w:pPr>
              <w:pStyle w:val="CM4"/>
              <w:spacing w:before="60" w:after="60"/>
              <w:jc w:val="both"/>
              <w:rPr>
                <w:rFonts w:ascii="Times New Roman" w:hAnsi="Times New Roman"/>
                <w:bCs/>
                <w:i/>
                <w:iCs/>
                <w:sz w:val="18"/>
                <w:szCs w:val="18"/>
                <w:lang w:val="ro-MD"/>
              </w:rPr>
            </w:pPr>
          </w:p>
        </w:tc>
        <w:tc>
          <w:tcPr>
            <w:tcW w:w="1229" w:type="dxa"/>
          </w:tcPr>
          <w:p w14:paraId="64DD1EFA" w14:textId="6119B6C2" w:rsidR="008D7F28" w:rsidRPr="002460E2" w:rsidRDefault="00233328" w:rsidP="008D7F28">
            <w:pPr>
              <w:jc w:val="both"/>
              <w:rPr>
                <w:sz w:val="18"/>
                <w:szCs w:val="18"/>
                <w:lang w:val="ro-MD"/>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48F2AD57" w14:textId="77777777" w:rsidR="008D7F28" w:rsidRPr="002460E2" w:rsidRDefault="008D7F28" w:rsidP="008D7F28">
            <w:pPr>
              <w:jc w:val="both"/>
              <w:rPr>
                <w:sz w:val="18"/>
                <w:szCs w:val="18"/>
                <w:lang w:val="ro-MD"/>
              </w:rPr>
            </w:pPr>
          </w:p>
        </w:tc>
      </w:tr>
      <w:tr w:rsidR="008D7F28" w:rsidRPr="002460E2" w14:paraId="078FCE32" w14:textId="77777777" w:rsidTr="003F5B3C">
        <w:trPr>
          <w:trHeight w:val="918"/>
        </w:trPr>
        <w:tc>
          <w:tcPr>
            <w:tcW w:w="4253" w:type="dxa"/>
          </w:tcPr>
          <w:p w14:paraId="49393DED" w14:textId="77777777" w:rsidR="008D7F28" w:rsidRPr="002460E2" w:rsidRDefault="008D7F28" w:rsidP="008D7F28">
            <w:pPr>
              <w:jc w:val="both"/>
              <w:rPr>
                <w:i/>
                <w:iCs/>
                <w:sz w:val="18"/>
                <w:szCs w:val="18"/>
                <w:lang w:val="en-US"/>
              </w:rPr>
            </w:pPr>
            <w:r w:rsidRPr="002460E2">
              <w:rPr>
                <w:i/>
                <w:iCs/>
                <w:sz w:val="18"/>
                <w:szCs w:val="18"/>
                <w:lang w:val="en-US"/>
              </w:rPr>
              <w:t>Articolul 383j</w:t>
            </w:r>
          </w:p>
          <w:p w14:paraId="3409965F" w14:textId="77777777" w:rsidR="008D7F28" w:rsidRPr="002460E2" w:rsidRDefault="008D7F28" w:rsidP="008D7F28">
            <w:pPr>
              <w:jc w:val="both"/>
              <w:rPr>
                <w:b/>
                <w:bCs/>
                <w:sz w:val="18"/>
                <w:szCs w:val="18"/>
                <w:lang w:val="en-US"/>
              </w:rPr>
            </w:pPr>
            <w:r w:rsidRPr="002460E2">
              <w:rPr>
                <w:b/>
                <w:bCs/>
                <w:sz w:val="18"/>
                <w:szCs w:val="18"/>
                <w:lang w:val="en-US"/>
              </w:rPr>
              <w:t>Sensibilitățile la riscul vega</w:t>
            </w:r>
          </w:p>
          <w:p w14:paraId="6EDA9C37" w14:textId="77777777" w:rsidR="008D7F28" w:rsidRPr="002460E2" w:rsidRDefault="008D7F28" w:rsidP="008D7F28">
            <w:pPr>
              <w:jc w:val="both"/>
              <w:rPr>
                <w:sz w:val="18"/>
                <w:szCs w:val="18"/>
                <w:lang w:val="en-US"/>
              </w:rPr>
            </w:pPr>
            <w:r w:rsidRPr="002460E2">
              <w:rPr>
                <w:sz w:val="18"/>
                <w:szCs w:val="18"/>
                <w:lang w:val="en-US"/>
              </w:rPr>
              <w:t>Instituțiile calculează sensibilitățile la riscul vega ale CVA agregate la factorii de risc care constau în volatilitatea implicită, precum și ale unui instrument de acoperire eligibil la acești factori de risc după cum urmează:</w:t>
            </w:r>
          </w:p>
          <w:p w14:paraId="53A7E4C9" w14:textId="77777777" w:rsidR="008D7F28" w:rsidRPr="002460E2" w:rsidRDefault="008D7F28" w:rsidP="008D7F28">
            <w:pPr>
              <w:rPr>
                <w:sz w:val="18"/>
                <w:szCs w:val="18"/>
              </w:rPr>
            </w:pPr>
            <w:r w:rsidRPr="002460E2">
              <w:rPr>
                <w:noProof/>
                <w:sz w:val="18"/>
                <w:szCs w:val="18"/>
              </w:rPr>
              <w:drawing>
                <wp:inline distT="0" distB="0" distL="0" distR="0" wp14:anchorId="1EA11996" wp14:editId="2A145C33">
                  <wp:extent cx="2157370" cy="270344"/>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9531" cy="278134"/>
                          </a:xfrm>
                          <a:prstGeom prst="rect">
                            <a:avLst/>
                          </a:prstGeom>
                          <a:noFill/>
                          <a:ln>
                            <a:noFill/>
                          </a:ln>
                        </pic:spPr>
                      </pic:pic>
                    </a:graphicData>
                  </a:graphic>
                </wp:inline>
              </w:drawing>
            </w:r>
          </w:p>
          <w:p w14:paraId="6B00E821" w14:textId="77777777" w:rsidR="008D7F28" w:rsidRPr="002460E2" w:rsidRDefault="008D7F28" w:rsidP="008D7F28">
            <w:pPr>
              <w:rPr>
                <w:sz w:val="18"/>
                <w:szCs w:val="18"/>
              </w:rPr>
            </w:pPr>
            <w:r w:rsidRPr="002460E2">
              <w:rPr>
                <w:noProof/>
                <w:sz w:val="18"/>
                <w:szCs w:val="18"/>
              </w:rPr>
              <w:drawing>
                <wp:inline distT="0" distB="0" distL="0" distR="0" wp14:anchorId="525C987B" wp14:editId="6AD58A57">
                  <wp:extent cx="2155465" cy="246491"/>
                  <wp:effectExtent l="0" t="0" r="0" b="127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8989" cy="251468"/>
                          </a:xfrm>
                          <a:prstGeom prst="rect">
                            <a:avLst/>
                          </a:prstGeom>
                          <a:noFill/>
                          <a:ln>
                            <a:noFill/>
                          </a:ln>
                        </pic:spPr>
                      </pic:pic>
                    </a:graphicData>
                  </a:graphic>
                </wp:inline>
              </w:drawing>
            </w:r>
          </w:p>
          <w:p w14:paraId="1CD63686" w14:textId="77777777" w:rsidR="008D7F28" w:rsidRPr="002460E2" w:rsidRDefault="008D7F28" w:rsidP="008D7F28">
            <w:pPr>
              <w:rPr>
                <w:sz w:val="18"/>
                <w:szCs w:val="18"/>
              </w:rPr>
            </w:pPr>
            <w:r w:rsidRPr="002460E2">
              <w:rPr>
                <w:sz w:val="18"/>
                <w:szCs w:val="18"/>
              </w:rPr>
              <w:lastRenderedPageBreak/>
              <w:t>unde:</w:t>
            </w:r>
          </w:p>
          <w:tbl>
            <w:tblPr>
              <w:tblW w:w="5000" w:type="pct"/>
              <w:tblLayout w:type="fixed"/>
              <w:tblCellMar>
                <w:left w:w="0" w:type="dxa"/>
                <w:right w:w="0" w:type="dxa"/>
              </w:tblCellMar>
              <w:tblLook w:val="04A0" w:firstRow="1" w:lastRow="0" w:firstColumn="1" w:lastColumn="0" w:noHBand="0" w:noVBand="1"/>
            </w:tblPr>
            <w:tblGrid>
              <w:gridCol w:w="386"/>
              <w:gridCol w:w="3651"/>
            </w:tblGrid>
            <w:tr w:rsidR="008D7F28" w:rsidRPr="002460E2" w14:paraId="41272067" w14:textId="77777777" w:rsidTr="000E21FB">
              <w:tc>
                <w:tcPr>
                  <w:tcW w:w="874" w:type="dxa"/>
                  <w:shd w:val="clear" w:color="auto" w:fill="auto"/>
                  <w:hideMark/>
                </w:tcPr>
                <w:p w14:paraId="60F661F5" w14:textId="77777777" w:rsidR="008D7F28" w:rsidRPr="002460E2" w:rsidRDefault="008D7F28" w:rsidP="008D7F28">
                  <w:pPr>
                    <w:rPr>
                      <w:sz w:val="18"/>
                      <w:szCs w:val="18"/>
                    </w:rPr>
                  </w:pPr>
                  <w:r w:rsidRPr="002460E2">
                    <w:rPr>
                      <w:noProof/>
                      <w:sz w:val="18"/>
                      <w:szCs w:val="18"/>
                    </w:rPr>
                    <w:drawing>
                      <wp:inline distT="0" distB="0" distL="0" distR="0" wp14:anchorId="0A80B630" wp14:editId="6946B8F0">
                        <wp:extent cx="250657" cy="166977"/>
                        <wp:effectExtent l="0" t="0" r="0" b="508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040" cy="170563"/>
                                </a:xfrm>
                                <a:prstGeom prst="rect">
                                  <a:avLst/>
                                </a:prstGeom>
                                <a:noFill/>
                                <a:ln>
                                  <a:noFill/>
                                </a:ln>
                              </pic:spPr>
                            </pic:pic>
                          </a:graphicData>
                        </a:graphic>
                      </wp:inline>
                    </w:drawing>
                  </w:r>
                </w:p>
              </w:tc>
              <w:tc>
                <w:tcPr>
                  <w:tcW w:w="8481" w:type="dxa"/>
                  <w:shd w:val="clear" w:color="auto" w:fill="auto"/>
                  <w:hideMark/>
                </w:tcPr>
                <w:p w14:paraId="6718E571" w14:textId="77777777" w:rsidR="008D7F28" w:rsidRPr="002460E2" w:rsidRDefault="008D7F28" w:rsidP="008D7F28">
                  <w:pPr>
                    <w:rPr>
                      <w:sz w:val="18"/>
                      <w:szCs w:val="18"/>
                      <w:lang w:val="en-US"/>
                    </w:rPr>
                  </w:pPr>
                  <w:r w:rsidRPr="002460E2">
                    <w:rPr>
                      <w:sz w:val="18"/>
                      <w:szCs w:val="18"/>
                      <w:lang w:val="en-US"/>
                    </w:rPr>
                    <w:t>= sensibilitățile CVA agregate la un factor de risc de volatilitate implicită;</w:t>
                  </w:r>
                </w:p>
              </w:tc>
            </w:tr>
          </w:tbl>
          <w:p w14:paraId="1512EF08"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76"/>
              <w:gridCol w:w="3761"/>
            </w:tblGrid>
            <w:tr w:rsidR="008D7F28" w:rsidRPr="002460E2" w14:paraId="5D217980" w14:textId="77777777" w:rsidTr="000E21FB">
              <w:tc>
                <w:tcPr>
                  <w:tcW w:w="617" w:type="dxa"/>
                  <w:shd w:val="clear" w:color="auto" w:fill="auto"/>
                  <w:hideMark/>
                </w:tcPr>
                <w:p w14:paraId="1268B0B2" w14:textId="77777777" w:rsidR="008D7F28" w:rsidRPr="002460E2" w:rsidRDefault="008D7F28" w:rsidP="008D7F28">
                  <w:pPr>
                    <w:rPr>
                      <w:sz w:val="18"/>
                      <w:szCs w:val="18"/>
                    </w:rPr>
                  </w:pPr>
                  <w:r w:rsidRPr="002460E2">
                    <w:rPr>
                      <w:i/>
                      <w:iCs/>
                      <w:sz w:val="18"/>
                      <w:szCs w:val="18"/>
                    </w:rPr>
                    <w:t>vol</w:t>
                  </w:r>
                  <w:r w:rsidRPr="002460E2">
                    <w:rPr>
                      <w:i/>
                      <w:iCs/>
                      <w:sz w:val="18"/>
                      <w:szCs w:val="18"/>
                      <w:vertAlign w:val="subscript"/>
                    </w:rPr>
                    <w:t>k</w:t>
                  </w:r>
                </w:p>
              </w:tc>
              <w:tc>
                <w:tcPr>
                  <w:tcW w:w="8738" w:type="dxa"/>
                  <w:shd w:val="clear" w:color="auto" w:fill="auto"/>
                  <w:hideMark/>
                </w:tcPr>
                <w:p w14:paraId="554F4546" w14:textId="77777777" w:rsidR="008D7F28" w:rsidRPr="002460E2" w:rsidRDefault="008D7F28" w:rsidP="008D7F28">
                  <w:pPr>
                    <w:rPr>
                      <w:sz w:val="18"/>
                      <w:szCs w:val="18"/>
                      <w:lang w:val="en-US"/>
                    </w:rPr>
                  </w:pPr>
                  <w:r w:rsidRPr="002460E2">
                    <w:rPr>
                      <w:sz w:val="18"/>
                      <w:szCs w:val="18"/>
                      <w:lang w:val="en-US"/>
                    </w:rPr>
                    <w:t>= valoarea factorului de risc de volatilitate implicită;</w:t>
                  </w:r>
                </w:p>
              </w:tc>
            </w:tr>
          </w:tbl>
          <w:p w14:paraId="683F12FE" w14:textId="77777777" w:rsidR="008D7F28" w:rsidRPr="002460E2" w:rsidRDefault="008D7F28" w:rsidP="008D7F28">
            <w:pPr>
              <w:rPr>
                <w:vanish/>
                <w:sz w:val="18"/>
                <w:szCs w:val="18"/>
              </w:rPr>
            </w:pPr>
          </w:p>
          <w:tbl>
            <w:tblPr>
              <w:tblW w:w="5254" w:type="dxa"/>
              <w:tblLayout w:type="fixed"/>
              <w:tblCellMar>
                <w:left w:w="0" w:type="dxa"/>
                <w:right w:w="0" w:type="dxa"/>
              </w:tblCellMar>
              <w:tblLook w:val="04A0" w:firstRow="1" w:lastRow="0" w:firstColumn="1" w:lastColumn="0" w:noHBand="0" w:noVBand="1"/>
            </w:tblPr>
            <w:tblGrid>
              <w:gridCol w:w="311"/>
              <w:gridCol w:w="4943"/>
            </w:tblGrid>
            <w:tr w:rsidR="008D7F28" w:rsidRPr="002460E2" w14:paraId="312FB0E6" w14:textId="77777777" w:rsidTr="002874AE">
              <w:trPr>
                <w:trHeight w:val="850"/>
              </w:trPr>
              <w:tc>
                <w:tcPr>
                  <w:tcW w:w="311" w:type="dxa"/>
                  <w:shd w:val="clear" w:color="auto" w:fill="auto"/>
                  <w:hideMark/>
                </w:tcPr>
                <w:p w14:paraId="56C87EE7"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CVA</w:t>
                  </w:r>
                </w:p>
              </w:tc>
              <w:tc>
                <w:tcPr>
                  <w:tcW w:w="4943" w:type="dxa"/>
                  <w:shd w:val="clear" w:color="auto" w:fill="auto"/>
                  <w:hideMark/>
                </w:tcPr>
                <w:p w14:paraId="2974769B" w14:textId="77777777" w:rsidR="008D7F28" w:rsidRPr="002460E2" w:rsidRDefault="008D7F28" w:rsidP="008D7F28">
                  <w:pPr>
                    <w:rPr>
                      <w:sz w:val="18"/>
                      <w:szCs w:val="18"/>
                      <w:lang w:val="en-US"/>
                    </w:rPr>
                  </w:pPr>
                  <w:r w:rsidRPr="002460E2">
                    <w:rPr>
                      <w:sz w:val="18"/>
                      <w:szCs w:val="18"/>
                      <w:lang w:val="en-US"/>
                    </w:rPr>
                    <w:t>= CVA agregată calculată pe baza modelului de CVA</w:t>
                  </w:r>
                </w:p>
                <w:p w14:paraId="64B93B95" w14:textId="73F6E4BC" w:rsidR="008D7F28" w:rsidRPr="002460E2" w:rsidRDefault="008D7F28" w:rsidP="008D7F28">
                  <w:pPr>
                    <w:rPr>
                      <w:sz w:val="18"/>
                      <w:szCs w:val="18"/>
                      <w:lang w:val="en-US"/>
                    </w:rPr>
                  </w:pPr>
                  <w:r w:rsidRPr="002460E2">
                    <w:rPr>
                      <w:sz w:val="18"/>
                      <w:szCs w:val="18"/>
                      <w:lang w:val="en-US"/>
                    </w:rPr>
                    <w:t>reglementară;</w:t>
                  </w:r>
                </w:p>
              </w:tc>
            </w:tr>
          </w:tbl>
          <w:p w14:paraId="0DA2455E" w14:textId="77777777" w:rsidR="008D7F28" w:rsidRPr="002460E2" w:rsidRDefault="008D7F28" w:rsidP="008D7F28">
            <w:pPr>
              <w:rPr>
                <w:vanish/>
                <w:sz w:val="18"/>
                <w:szCs w:val="18"/>
              </w:rPr>
            </w:pPr>
          </w:p>
          <w:tbl>
            <w:tblPr>
              <w:tblW w:w="4731" w:type="dxa"/>
              <w:tblLayout w:type="fixed"/>
              <w:tblCellMar>
                <w:left w:w="0" w:type="dxa"/>
                <w:right w:w="0" w:type="dxa"/>
              </w:tblCellMar>
              <w:tblLook w:val="04A0" w:firstRow="1" w:lastRow="0" w:firstColumn="1" w:lastColumn="0" w:noHBand="0" w:noVBand="1"/>
            </w:tblPr>
            <w:tblGrid>
              <w:gridCol w:w="229"/>
              <w:gridCol w:w="4502"/>
            </w:tblGrid>
            <w:tr w:rsidR="008D7F28" w:rsidRPr="002460E2" w14:paraId="2E7B0552" w14:textId="77777777" w:rsidTr="002874AE">
              <w:trPr>
                <w:trHeight w:val="466"/>
              </w:trPr>
              <w:tc>
                <w:tcPr>
                  <w:tcW w:w="229" w:type="dxa"/>
                  <w:shd w:val="clear" w:color="auto" w:fill="auto"/>
                  <w:hideMark/>
                </w:tcPr>
                <w:p w14:paraId="254BEA83" w14:textId="77777777" w:rsidR="008D7F28" w:rsidRPr="002460E2" w:rsidRDefault="008D7F28" w:rsidP="008D7F28">
                  <w:pPr>
                    <w:rPr>
                      <w:sz w:val="18"/>
                      <w:szCs w:val="18"/>
                    </w:rPr>
                  </w:pPr>
                  <w:r w:rsidRPr="002460E2">
                    <w:rPr>
                      <w:i/>
                      <w:iCs/>
                      <w:sz w:val="18"/>
                      <w:szCs w:val="18"/>
                    </w:rPr>
                    <w:t>x,y</w:t>
                  </w:r>
                </w:p>
              </w:tc>
              <w:tc>
                <w:tcPr>
                  <w:tcW w:w="4502" w:type="dxa"/>
                  <w:shd w:val="clear" w:color="auto" w:fill="auto"/>
                  <w:hideMark/>
                </w:tcPr>
                <w:p w14:paraId="009CB05C"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vol</w:t>
                  </w:r>
                  <w:r w:rsidRPr="002460E2">
                    <w:rPr>
                      <w:i/>
                      <w:iCs/>
                      <w:sz w:val="18"/>
                      <w:szCs w:val="18"/>
                      <w:vertAlign w:val="subscript"/>
                      <w:lang w:val="en-US"/>
                    </w:rPr>
                    <w:t>k</w:t>
                  </w:r>
                  <w:r w:rsidRPr="002460E2">
                    <w:rPr>
                      <w:i/>
                      <w:iCs/>
                      <w:sz w:val="18"/>
                      <w:szCs w:val="18"/>
                      <w:lang w:val="en-US"/>
                    </w:rPr>
                    <w:t> </w:t>
                  </w:r>
                  <w:r w:rsidRPr="002460E2">
                    <w:rPr>
                      <w:sz w:val="18"/>
                      <w:szCs w:val="18"/>
                      <w:lang w:val="en-US"/>
                    </w:rPr>
                    <w:t>din funcția de</w:t>
                  </w:r>
                </w:p>
                <w:p w14:paraId="6C706261" w14:textId="61B1E4A0" w:rsidR="008D7F28" w:rsidRPr="002460E2" w:rsidRDefault="008D7F28" w:rsidP="008D7F28">
                  <w:pPr>
                    <w:rPr>
                      <w:sz w:val="18"/>
                      <w:szCs w:val="18"/>
                      <w:lang w:val="en-US"/>
                    </w:rPr>
                  </w:pPr>
                  <w:r w:rsidRPr="002460E2">
                    <w:rPr>
                      <w:sz w:val="18"/>
                      <w:szCs w:val="18"/>
                      <w:lang w:val="en-US"/>
                    </w:rPr>
                    <w:t xml:space="preserve"> evaluare </w:t>
                  </w:r>
                  <w:r w:rsidRPr="002460E2">
                    <w:rPr>
                      <w:i/>
                      <w:iCs/>
                      <w:sz w:val="18"/>
                      <w:szCs w:val="18"/>
                      <w:lang w:val="en-US"/>
                    </w:rPr>
                    <w:t>V</w:t>
                  </w:r>
                  <w:r w:rsidRPr="002460E2">
                    <w:rPr>
                      <w:i/>
                      <w:iCs/>
                      <w:sz w:val="18"/>
                      <w:szCs w:val="18"/>
                      <w:vertAlign w:val="subscript"/>
                      <w:lang w:val="en-US"/>
                    </w:rPr>
                    <w:t>CVA</w:t>
                  </w:r>
                  <w:r w:rsidRPr="002460E2">
                    <w:rPr>
                      <w:i/>
                      <w:iCs/>
                      <w:sz w:val="18"/>
                      <w:szCs w:val="18"/>
                      <w:lang w:val="en-US"/>
                    </w:rPr>
                    <w:t> </w:t>
                  </w:r>
                  <w:r w:rsidRPr="002460E2">
                    <w:rPr>
                      <w:sz w:val="18"/>
                      <w:szCs w:val="18"/>
                      <w:lang w:val="en-US"/>
                    </w:rPr>
                    <w:t>;</w:t>
                  </w:r>
                </w:p>
              </w:tc>
            </w:tr>
          </w:tbl>
          <w:p w14:paraId="4087EBC9" w14:textId="77777777" w:rsidR="008D7F28" w:rsidRPr="002460E2" w:rsidRDefault="008D7F28" w:rsidP="008D7F28">
            <w:pPr>
              <w:rPr>
                <w:vanish/>
                <w:sz w:val="18"/>
                <w:szCs w:val="18"/>
              </w:rPr>
            </w:pPr>
          </w:p>
          <w:tbl>
            <w:tblPr>
              <w:tblW w:w="4618" w:type="dxa"/>
              <w:tblLayout w:type="fixed"/>
              <w:tblCellMar>
                <w:left w:w="0" w:type="dxa"/>
                <w:right w:w="0" w:type="dxa"/>
              </w:tblCellMar>
              <w:tblLook w:val="04A0" w:firstRow="1" w:lastRow="0" w:firstColumn="1" w:lastColumn="0" w:noHBand="0" w:noVBand="1"/>
            </w:tblPr>
            <w:tblGrid>
              <w:gridCol w:w="680"/>
              <w:gridCol w:w="3938"/>
            </w:tblGrid>
            <w:tr w:rsidR="008D7F28" w:rsidRPr="002460E2" w14:paraId="7778D2D1" w14:textId="77777777" w:rsidTr="002874AE">
              <w:trPr>
                <w:trHeight w:val="704"/>
              </w:trPr>
              <w:tc>
                <w:tcPr>
                  <w:tcW w:w="680" w:type="dxa"/>
                  <w:shd w:val="clear" w:color="auto" w:fill="auto"/>
                  <w:hideMark/>
                </w:tcPr>
                <w:p w14:paraId="396D656C" w14:textId="77777777" w:rsidR="008D7F28" w:rsidRPr="002460E2" w:rsidRDefault="008D7F28" w:rsidP="008D7F28">
                  <w:pPr>
                    <w:rPr>
                      <w:sz w:val="18"/>
                      <w:szCs w:val="18"/>
                    </w:rPr>
                  </w:pPr>
                  <w:r w:rsidRPr="002460E2">
                    <w:rPr>
                      <w:noProof/>
                      <w:sz w:val="18"/>
                      <w:szCs w:val="18"/>
                    </w:rPr>
                    <w:drawing>
                      <wp:inline distT="0" distB="0" distL="0" distR="0" wp14:anchorId="77E7978F" wp14:editId="2B1B3DBA">
                        <wp:extent cx="536952" cy="198783"/>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2286" cy="208162"/>
                                </a:xfrm>
                                <a:prstGeom prst="rect">
                                  <a:avLst/>
                                </a:prstGeom>
                                <a:noFill/>
                                <a:ln>
                                  <a:noFill/>
                                </a:ln>
                              </pic:spPr>
                            </pic:pic>
                          </a:graphicData>
                        </a:graphic>
                      </wp:inline>
                    </w:drawing>
                  </w:r>
                </w:p>
              </w:tc>
              <w:tc>
                <w:tcPr>
                  <w:tcW w:w="3938" w:type="dxa"/>
                  <w:shd w:val="clear" w:color="auto" w:fill="auto"/>
                  <w:hideMark/>
                </w:tcPr>
                <w:p w14:paraId="3FC2FBE5" w14:textId="77777777" w:rsidR="008D7F28" w:rsidRPr="002460E2" w:rsidRDefault="008D7F28" w:rsidP="008D7F28">
                  <w:pPr>
                    <w:rPr>
                      <w:sz w:val="18"/>
                      <w:szCs w:val="18"/>
                      <w:lang w:val="en-US"/>
                    </w:rPr>
                  </w:pPr>
                  <w:r w:rsidRPr="002460E2">
                    <w:rPr>
                      <w:sz w:val="18"/>
                      <w:szCs w:val="18"/>
                      <w:lang w:val="en-US"/>
                    </w:rPr>
                    <w:t xml:space="preserve">= sensibilitățile instrumentului de acoperire </w:t>
                  </w:r>
                </w:p>
                <w:p w14:paraId="45A22370" w14:textId="77777777" w:rsidR="008D7F28" w:rsidRPr="002460E2" w:rsidRDefault="008D7F28" w:rsidP="008D7F28">
                  <w:pPr>
                    <w:rPr>
                      <w:sz w:val="18"/>
                      <w:szCs w:val="18"/>
                      <w:lang w:val="en-US"/>
                    </w:rPr>
                  </w:pPr>
                  <w:r w:rsidRPr="002460E2">
                    <w:rPr>
                      <w:sz w:val="18"/>
                      <w:szCs w:val="18"/>
                      <w:lang w:val="en-US"/>
                    </w:rPr>
                    <w:t xml:space="preserve">eligibil i la un factor de risc de volatilitate </w:t>
                  </w:r>
                </w:p>
                <w:p w14:paraId="34D8AD30" w14:textId="3646651F" w:rsidR="008D7F28" w:rsidRPr="002460E2" w:rsidRDefault="008D7F28" w:rsidP="008D7F28">
                  <w:pPr>
                    <w:rPr>
                      <w:sz w:val="18"/>
                      <w:szCs w:val="18"/>
                      <w:lang w:val="en-US"/>
                    </w:rPr>
                  </w:pPr>
                  <w:r w:rsidRPr="002460E2">
                    <w:rPr>
                      <w:sz w:val="18"/>
                      <w:szCs w:val="18"/>
                      <w:lang w:val="en-US"/>
                    </w:rPr>
                    <w:t>implicită;</w:t>
                  </w:r>
                </w:p>
              </w:tc>
            </w:tr>
          </w:tbl>
          <w:p w14:paraId="713C8798"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170"/>
              <w:gridCol w:w="3867"/>
            </w:tblGrid>
            <w:tr w:rsidR="008D7F28" w:rsidRPr="002460E2" w14:paraId="08248274" w14:textId="77777777" w:rsidTr="000E21FB">
              <w:tc>
                <w:tcPr>
                  <w:tcW w:w="370" w:type="dxa"/>
                  <w:shd w:val="clear" w:color="auto" w:fill="auto"/>
                  <w:hideMark/>
                </w:tcPr>
                <w:p w14:paraId="3A2AD32C" w14:textId="77777777" w:rsidR="008D7F28" w:rsidRPr="002460E2" w:rsidRDefault="008D7F28" w:rsidP="008D7F28">
                  <w:pPr>
                    <w:rPr>
                      <w:sz w:val="18"/>
                      <w:szCs w:val="18"/>
                    </w:rPr>
                  </w:pPr>
                  <w:r w:rsidRPr="002460E2">
                    <w:rPr>
                      <w:i/>
                      <w:iCs/>
                      <w:sz w:val="18"/>
                      <w:szCs w:val="18"/>
                    </w:rPr>
                    <w:t>V</w:t>
                  </w:r>
                  <w:r w:rsidRPr="002460E2">
                    <w:rPr>
                      <w:i/>
                      <w:iCs/>
                      <w:sz w:val="18"/>
                      <w:szCs w:val="18"/>
                      <w:vertAlign w:val="subscript"/>
                    </w:rPr>
                    <w:t>i</w:t>
                  </w:r>
                </w:p>
              </w:tc>
              <w:tc>
                <w:tcPr>
                  <w:tcW w:w="8985" w:type="dxa"/>
                  <w:shd w:val="clear" w:color="auto" w:fill="auto"/>
                  <w:hideMark/>
                </w:tcPr>
                <w:p w14:paraId="17F409B1" w14:textId="77777777" w:rsidR="008D7F28" w:rsidRPr="002460E2" w:rsidRDefault="008D7F28" w:rsidP="008D7F28">
                  <w:pPr>
                    <w:rPr>
                      <w:sz w:val="18"/>
                      <w:szCs w:val="18"/>
                      <w:lang w:val="en-US"/>
                    </w:rPr>
                  </w:pPr>
                  <w:r w:rsidRPr="002460E2">
                    <w:rPr>
                      <w:sz w:val="18"/>
                      <w:szCs w:val="18"/>
                      <w:lang w:val="en-US"/>
                    </w:rPr>
                    <w:t>= funcția de evaluare a acoperirii eligibile i;</w:t>
                  </w:r>
                </w:p>
              </w:tc>
            </w:tr>
          </w:tbl>
          <w:p w14:paraId="7BAD43A0" w14:textId="77777777" w:rsidR="008D7F28" w:rsidRPr="002460E2" w:rsidRDefault="008D7F28" w:rsidP="008D7F28">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29"/>
              <w:gridCol w:w="3808"/>
            </w:tblGrid>
            <w:tr w:rsidR="008D7F28" w:rsidRPr="002460E2" w14:paraId="1E50D8FD" w14:textId="77777777" w:rsidTr="000E21FB">
              <w:tc>
                <w:tcPr>
                  <w:tcW w:w="506" w:type="dxa"/>
                  <w:shd w:val="clear" w:color="auto" w:fill="auto"/>
                  <w:hideMark/>
                </w:tcPr>
                <w:p w14:paraId="410846C3" w14:textId="77777777" w:rsidR="008D7F28" w:rsidRPr="002460E2" w:rsidRDefault="008D7F28" w:rsidP="008D7F28">
                  <w:pPr>
                    <w:rPr>
                      <w:sz w:val="18"/>
                      <w:szCs w:val="18"/>
                    </w:rPr>
                  </w:pPr>
                  <w:r w:rsidRPr="002460E2">
                    <w:rPr>
                      <w:i/>
                      <w:iCs/>
                      <w:sz w:val="18"/>
                      <w:szCs w:val="18"/>
                    </w:rPr>
                    <w:t>w,z</w:t>
                  </w:r>
                </w:p>
              </w:tc>
              <w:tc>
                <w:tcPr>
                  <w:tcW w:w="8849" w:type="dxa"/>
                  <w:shd w:val="clear" w:color="auto" w:fill="auto"/>
                  <w:hideMark/>
                </w:tcPr>
                <w:p w14:paraId="758F8792" w14:textId="77777777" w:rsidR="008D7F28" w:rsidRPr="002460E2" w:rsidRDefault="008D7F28" w:rsidP="008D7F28">
                  <w:pPr>
                    <w:rPr>
                      <w:sz w:val="18"/>
                      <w:szCs w:val="18"/>
                      <w:lang w:val="en-US"/>
                    </w:rPr>
                  </w:pPr>
                  <w:r w:rsidRPr="002460E2">
                    <w:rPr>
                      <w:sz w:val="18"/>
                      <w:szCs w:val="18"/>
                      <w:lang w:val="en-US"/>
                    </w:rPr>
                    <w:t>= alți factori de risc decât </w:t>
                  </w:r>
                  <w:r w:rsidRPr="002460E2">
                    <w:rPr>
                      <w:i/>
                      <w:iCs/>
                      <w:sz w:val="18"/>
                      <w:szCs w:val="18"/>
                      <w:lang w:val="en-US"/>
                    </w:rPr>
                    <w:t>vol</w:t>
                  </w:r>
                  <w:r w:rsidRPr="002460E2">
                    <w:rPr>
                      <w:i/>
                      <w:iCs/>
                      <w:sz w:val="18"/>
                      <w:szCs w:val="18"/>
                      <w:vertAlign w:val="subscript"/>
                      <w:lang w:val="en-US"/>
                    </w:rPr>
                    <w:t>k</w:t>
                  </w:r>
                  <w:r w:rsidRPr="002460E2">
                    <w:rPr>
                      <w:i/>
                      <w:iCs/>
                      <w:sz w:val="18"/>
                      <w:szCs w:val="18"/>
                      <w:lang w:val="en-US"/>
                    </w:rPr>
                    <w:t> </w:t>
                  </w:r>
                  <w:r w:rsidRPr="002460E2">
                    <w:rPr>
                      <w:sz w:val="18"/>
                      <w:szCs w:val="18"/>
                      <w:lang w:val="en-US"/>
                    </w:rPr>
                    <w:t>din funcția de evaluare </w:t>
                  </w:r>
                  <w:r w:rsidRPr="002460E2">
                    <w:rPr>
                      <w:i/>
                      <w:iCs/>
                      <w:sz w:val="18"/>
                      <w:szCs w:val="18"/>
                      <w:lang w:val="en-US"/>
                    </w:rPr>
                    <w:t>V</w:t>
                  </w:r>
                  <w:r w:rsidRPr="002460E2">
                    <w:rPr>
                      <w:i/>
                      <w:iCs/>
                      <w:sz w:val="18"/>
                      <w:szCs w:val="18"/>
                      <w:vertAlign w:val="subscript"/>
                      <w:lang w:val="en-US"/>
                    </w:rPr>
                    <w:t>i</w:t>
                  </w:r>
                  <w:r w:rsidRPr="002460E2">
                    <w:rPr>
                      <w:i/>
                      <w:iCs/>
                      <w:sz w:val="18"/>
                      <w:szCs w:val="18"/>
                      <w:lang w:val="en-US"/>
                    </w:rPr>
                    <w:t> </w:t>
                  </w:r>
                  <w:r w:rsidRPr="002460E2">
                    <w:rPr>
                      <w:sz w:val="18"/>
                      <w:szCs w:val="18"/>
                      <w:lang w:val="en-US"/>
                    </w:rPr>
                    <w:t>.</w:t>
                  </w:r>
                </w:p>
              </w:tc>
            </w:tr>
          </w:tbl>
          <w:p w14:paraId="6610E3C0" w14:textId="57152CB8" w:rsidR="008D7F28" w:rsidRPr="002460E2" w:rsidRDefault="008D7F28" w:rsidP="008D7F28">
            <w:pPr>
              <w:autoSpaceDE w:val="0"/>
              <w:autoSpaceDN w:val="0"/>
              <w:adjustRightInd w:val="0"/>
              <w:spacing w:before="60" w:after="60"/>
              <w:rPr>
                <w:rFonts w:eastAsiaTheme="minorHAnsi"/>
                <w:i/>
                <w:iCs/>
                <w:color w:val="000000"/>
                <w:sz w:val="18"/>
                <w:szCs w:val="18"/>
                <w:lang w:val="en-US" w:eastAsia="en-US"/>
              </w:rPr>
            </w:pPr>
          </w:p>
        </w:tc>
        <w:tc>
          <w:tcPr>
            <w:tcW w:w="3685" w:type="dxa"/>
            <w:shd w:val="clear" w:color="auto" w:fill="auto"/>
          </w:tcPr>
          <w:p w14:paraId="7701B0BC" w14:textId="3A6039A2" w:rsidR="00BB6D4C" w:rsidRPr="002460E2" w:rsidRDefault="00BB6D4C" w:rsidP="00BB6D4C">
            <w:pPr>
              <w:tabs>
                <w:tab w:val="left" w:pos="993"/>
                <w:tab w:val="left" w:pos="1134"/>
              </w:tabs>
              <w:contextualSpacing/>
              <w:jc w:val="both"/>
              <w:rPr>
                <w:sz w:val="18"/>
                <w:szCs w:val="18"/>
                <w:lang w:val="ro-MD" w:eastAsia="en-US"/>
              </w:rPr>
            </w:pPr>
            <w:r w:rsidRPr="002460E2">
              <w:rPr>
                <w:sz w:val="18"/>
                <w:szCs w:val="18"/>
                <w:lang w:val="ro-MD" w:eastAsia="en-US"/>
              </w:rPr>
              <w:lastRenderedPageBreak/>
              <w:t>6</w:t>
            </w:r>
            <w:r w:rsidR="00FB32FD" w:rsidRPr="002460E2">
              <w:rPr>
                <w:sz w:val="18"/>
                <w:szCs w:val="18"/>
                <w:lang w:val="ro-MD" w:eastAsia="en-US"/>
              </w:rPr>
              <w:t>9</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Băncile calculează sensibilitățile la riscul vega ale CVA agregate la factorii de risc care constau în volatilitatea implicită, precum și ale unui instrument de acoperire eligibil la acești factori de risc după cum urmează:</w:t>
            </w:r>
          </w:p>
          <w:p w14:paraId="16E60726" w14:textId="77777777" w:rsidR="00BB6D4C" w:rsidRPr="002460E2" w:rsidRDefault="00BB6D4C" w:rsidP="00BB6D4C">
            <w:pPr>
              <w:tabs>
                <w:tab w:val="left" w:pos="993"/>
                <w:tab w:val="left" w:pos="1134"/>
              </w:tabs>
              <w:ind w:left="720" w:hanging="294"/>
              <w:contextualSpacing/>
              <w:jc w:val="center"/>
              <w:rPr>
                <w:sz w:val="18"/>
                <w:szCs w:val="18"/>
                <w:lang w:val="ro-MD" w:eastAsia="en-US"/>
              </w:rPr>
            </w:pPr>
            <w:r w:rsidRPr="002460E2">
              <w:rPr>
                <w:noProof/>
                <w:sz w:val="18"/>
                <w:szCs w:val="18"/>
                <w:lang w:val="ro-MD" w:eastAsia="en-US"/>
              </w:rPr>
              <w:drawing>
                <wp:inline distT="0" distB="0" distL="0" distR="0" wp14:anchorId="3DCE5C71" wp14:editId="6CA1A9DC">
                  <wp:extent cx="2095948" cy="262647"/>
                  <wp:effectExtent l="0" t="0" r="0" b="4445"/>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7259" cy="267824"/>
                          </a:xfrm>
                          <a:prstGeom prst="rect">
                            <a:avLst/>
                          </a:prstGeom>
                          <a:noFill/>
                          <a:ln>
                            <a:noFill/>
                          </a:ln>
                        </pic:spPr>
                      </pic:pic>
                    </a:graphicData>
                  </a:graphic>
                </wp:inline>
              </w:drawing>
            </w:r>
          </w:p>
          <w:p w14:paraId="11ACF12F" w14:textId="77777777" w:rsidR="00BB6D4C" w:rsidRPr="002460E2" w:rsidRDefault="00BB6D4C" w:rsidP="00BB6D4C">
            <w:pPr>
              <w:tabs>
                <w:tab w:val="left" w:pos="993"/>
                <w:tab w:val="left" w:pos="1134"/>
              </w:tabs>
              <w:ind w:left="720" w:hanging="294"/>
              <w:contextualSpacing/>
              <w:jc w:val="center"/>
              <w:rPr>
                <w:sz w:val="18"/>
                <w:szCs w:val="18"/>
                <w:lang w:val="ro-MD" w:eastAsia="en-US"/>
              </w:rPr>
            </w:pPr>
            <w:r w:rsidRPr="002460E2">
              <w:rPr>
                <w:noProof/>
                <w:sz w:val="18"/>
                <w:szCs w:val="18"/>
                <w:lang w:val="ro-MD" w:eastAsia="en-US"/>
              </w:rPr>
              <w:drawing>
                <wp:inline distT="0" distB="0" distL="0" distR="0" wp14:anchorId="65BCBF56" wp14:editId="28482A35">
                  <wp:extent cx="2041549" cy="233464"/>
                  <wp:effectExtent l="0" t="0" r="0" b="0"/>
                  <wp:docPr id="100" name="Pictur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77790" cy="249044"/>
                          </a:xfrm>
                          <a:prstGeom prst="rect">
                            <a:avLst/>
                          </a:prstGeom>
                          <a:noFill/>
                          <a:ln>
                            <a:noFill/>
                          </a:ln>
                        </pic:spPr>
                      </pic:pic>
                    </a:graphicData>
                  </a:graphic>
                </wp:inline>
              </w:drawing>
            </w:r>
          </w:p>
          <w:p w14:paraId="32AD4A47" w14:textId="77777777" w:rsidR="00BB6D4C" w:rsidRPr="002460E2" w:rsidRDefault="00BB6D4C" w:rsidP="00BB6D4C">
            <w:pPr>
              <w:tabs>
                <w:tab w:val="left" w:pos="993"/>
                <w:tab w:val="left" w:pos="1134"/>
              </w:tabs>
              <w:rPr>
                <w:sz w:val="18"/>
                <w:szCs w:val="18"/>
                <w:lang w:val="ro-MD" w:eastAsia="en-US"/>
              </w:rPr>
            </w:pPr>
            <w:r w:rsidRPr="002460E2">
              <w:rPr>
                <w:sz w:val="18"/>
                <w:szCs w:val="18"/>
                <w:lang w:val="ro-MD" w:eastAsia="en-US"/>
              </w:rPr>
              <w:t>unde:</w:t>
            </w:r>
          </w:p>
          <w:p w14:paraId="3D075418" w14:textId="77777777" w:rsidR="00BB6D4C" w:rsidRPr="002460E2" w:rsidRDefault="00BB6D4C" w:rsidP="00BB6D4C">
            <w:pPr>
              <w:rPr>
                <w:sz w:val="18"/>
                <w:szCs w:val="18"/>
                <w:lang w:val="ro-MD" w:eastAsia="en-US"/>
              </w:rPr>
            </w:pPr>
            <w:r w:rsidRPr="002460E2">
              <w:rPr>
                <w:noProof/>
                <w:color w:val="000000"/>
                <w:sz w:val="18"/>
                <w:szCs w:val="18"/>
                <w:lang w:val="ro-MD" w:eastAsia="ro-MD"/>
              </w:rPr>
              <w:lastRenderedPageBreak/>
              <w:drawing>
                <wp:inline distT="0" distB="0" distL="0" distR="0" wp14:anchorId="00CC35E2" wp14:editId="4A16D719">
                  <wp:extent cx="413385" cy="278130"/>
                  <wp:effectExtent l="0" t="0" r="0" b="0"/>
                  <wp:docPr id="10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3385" cy="278130"/>
                          </a:xfrm>
                          <a:prstGeom prst="rect">
                            <a:avLst/>
                          </a:prstGeom>
                          <a:noFill/>
                          <a:ln>
                            <a:noFill/>
                          </a:ln>
                        </pic:spPr>
                      </pic:pic>
                    </a:graphicData>
                  </a:graphic>
                </wp:inline>
              </w:drawing>
            </w:r>
            <w:r w:rsidRPr="002460E2">
              <w:rPr>
                <w:color w:val="000000"/>
                <w:sz w:val="18"/>
                <w:szCs w:val="18"/>
                <w:lang w:val="ro-MD" w:eastAsia="ro-MD"/>
              </w:rPr>
              <w:t xml:space="preserve"> =</w:t>
            </w:r>
            <w:r w:rsidRPr="002460E2">
              <w:rPr>
                <w:sz w:val="18"/>
                <w:szCs w:val="18"/>
                <w:lang w:val="ro-MD" w:eastAsia="en-US"/>
              </w:rPr>
              <w:t xml:space="preserve"> sensibilitățile CVA agregate la un factor de risc de volatilitate implicită;</w:t>
            </w:r>
          </w:p>
          <w:p w14:paraId="5D31EF70" w14:textId="77777777" w:rsidR="00BB6D4C" w:rsidRPr="002460E2" w:rsidRDefault="00BB6D4C" w:rsidP="00BB6D4C">
            <w:pPr>
              <w:rPr>
                <w:color w:val="000000"/>
                <w:sz w:val="18"/>
                <w:szCs w:val="18"/>
                <w:lang w:val="ro-MD" w:eastAsia="ro-MD"/>
              </w:rPr>
            </w:pPr>
            <w:r w:rsidRPr="002460E2">
              <w:rPr>
                <w:i/>
                <w:iCs/>
                <w:color w:val="000000"/>
                <w:sz w:val="18"/>
                <w:szCs w:val="18"/>
                <w:lang w:val="ro-MD" w:eastAsia="ro-MD"/>
              </w:rPr>
              <w:t>vol</w:t>
            </w:r>
            <w:r w:rsidRPr="002460E2">
              <w:rPr>
                <w:i/>
                <w:iCs/>
                <w:color w:val="000000"/>
                <w:sz w:val="18"/>
                <w:szCs w:val="18"/>
                <w:vertAlign w:val="subscript"/>
                <w:lang w:val="ro-MD" w:eastAsia="ro-MD"/>
              </w:rPr>
              <w:t xml:space="preserve">k </w:t>
            </w:r>
            <w:r w:rsidRPr="002460E2">
              <w:rPr>
                <w:i/>
                <w:iCs/>
                <w:color w:val="000000"/>
                <w:sz w:val="18"/>
                <w:szCs w:val="18"/>
                <w:lang w:val="ro-MD" w:eastAsia="ro-MD"/>
              </w:rPr>
              <w:t xml:space="preserve">= </w:t>
            </w:r>
            <w:r w:rsidRPr="002460E2">
              <w:rPr>
                <w:sz w:val="18"/>
                <w:szCs w:val="18"/>
                <w:lang w:val="ro-MD" w:eastAsia="en-US"/>
              </w:rPr>
              <w:t>valoarea factorului de risc de volatilitate implicită;</w:t>
            </w:r>
          </w:p>
          <w:p w14:paraId="5FBB89E8" w14:textId="77777777" w:rsidR="00BB6D4C" w:rsidRPr="002460E2" w:rsidRDefault="00BB6D4C" w:rsidP="00BB6D4C">
            <w:pPr>
              <w:rPr>
                <w:sz w:val="18"/>
                <w:szCs w:val="18"/>
                <w:lang w:val="ro-MD" w:eastAsia="en-US"/>
              </w:rPr>
            </w:pPr>
            <w:r w:rsidRPr="002460E2">
              <w:rPr>
                <w:i/>
                <w:iCs/>
                <w:color w:val="000000"/>
                <w:sz w:val="18"/>
                <w:szCs w:val="18"/>
                <w:lang w:val="en-US" w:eastAsia="ro-MD"/>
              </w:rPr>
              <w:t>V</w:t>
            </w:r>
            <w:r w:rsidRPr="002460E2">
              <w:rPr>
                <w:i/>
                <w:iCs/>
                <w:color w:val="000000"/>
                <w:sz w:val="18"/>
                <w:szCs w:val="18"/>
                <w:vertAlign w:val="subscript"/>
                <w:lang w:val="en-US" w:eastAsia="ro-MD"/>
              </w:rPr>
              <w:t xml:space="preserve">CVA </w:t>
            </w:r>
            <w:r w:rsidRPr="002460E2">
              <w:rPr>
                <w:color w:val="000000"/>
                <w:sz w:val="18"/>
                <w:szCs w:val="18"/>
                <w:lang w:val="en-US" w:eastAsia="ro-MD"/>
              </w:rPr>
              <w:t>=</w:t>
            </w:r>
            <w:r w:rsidRPr="002460E2">
              <w:rPr>
                <w:i/>
                <w:iCs/>
                <w:color w:val="000000"/>
                <w:sz w:val="18"/>
                <w:szCs w:val="18"/>
                <w:lang w:val="en-US" w:eastAsia="ro-MD"/>
              </w:rPr>
              <w:t xml:space="preserve"> </w:t>
            </w:r>
            <w:r w:rsidRPr="002460E2">
              <w:rPr>
                <w:sz w:val="18"/>
                <w:szCs w:val="18"/>
                <w:lang w:val="ro-MD" w:eastAsia="en-US"/>
              </w:rPr>
              <w:t>CVA agregată calculată pe baza modelului de CVA reglementară;</w:t>
            </w:r>
          </w:p>
          <w:p w14:paraId="38A66A8A" w14:textId="77777777" w:rsidR="00BB6D4C" w:rsidRPr="002460E2" w:rsidRDefault="00BB6D4C" w:rsidP="00BB6D4C">
            <w:pPr>
              <w:rPr>
                <w:sz w:val="18"/>
                <w:szCs w:val="18"/>
                <w:lang w:val="ro-MD" w:eastAsia="en-US"/>
              </w:rPr>
            </w:pPr>
            <w:r w:rsidRPr="002460E2">
              <w:rPr>
                <w:sz w:val="18"/>
                <w:szCs w:val="18"/>
                <w:lang w:val="ro-MD" w:eastAsia="en-US"/>
              </w:rPr>
              <w:t>x, y = alți factori de risc decât </w:t>
            </w:r>
            <w:r w:rsidRPr="002460E2">
              <w:rPr>
                <w:i/>
                <w:iCs/>
                <w:sz w:val="18"/>
                <w:szCs w:val="18"/>
                <w:lang w:val="ro-MD" w:eastAsia="en-US"/>
              </w:rPr>
              <w:t>vol</w:t>
            </w:r>
            <w:r w:rsidRPr="002460E2">
              <w:rPr>
                <w:i/>
                <w:iCs/>
                <w:sz w:val="18"/>
                <w:szCs w:val="18"/>
                <w:vertAlign w:val="subscript"/>
                <w:lang w:val="ro-MD" w:eastAsia="en-US"/>
              </w:rPr>
              <w:t>k</w:t>
            </w:r>
            <w:r w:rsidRPr="002460E2">
              <w:rPr>
                <w:i/>
                <w:iCs/>
                <w:sz w:val="18"/>
                <w:szCs w:val="18"/>
                <w:lang w:val="ro-MD" w:eastAsia="en-US"/>
              </w:rPr>
              <w:t> </w:t>
            </w:r>
            <w:r w:rsidRPr="002460E2">
              <w:rPr>
                <w:sz w:val="18"/>
                <w:szCs w:val="18"/>
                <w:lang w:val="ro-MD" w:eastAsia="en-US"/>
              </w:rPr>
              <w:t>din funcția de evaluare </w:t>
            </w:r>
            <w:r w:rsidRPr="002460E2">
              <w:rPr>
                <w:i/>
                <w:iCs/>
                <w:sz w:val="18"/>
                <w:szCs w:val="18"/>
                <w:lang w:val="ro-MD" w:eastAsia="en-US"/>
              </w:rPr>
              <w:t>V</w:t>
            </w:r>
            <w:r w:rsidRPr="002460E2">
              <w:rPr>
                <w:i/>
                <w:iCs/>
                <w:sz w:val="18"/>
                <w:szCs w:val="18"/>
                <w:vertAlign w:val="subscript"/>
                <w:lang w:val="ro-MD" w:eastAsia="en-US"/>
              </w:rPr>
              <w:t>CVA</w:t>
            </w:r>
            <w:r w:rsidRPr="002460E2">
              <w:rPr>
                <w:i/>
                <w:iCs/>
                <w:sz w:val="18"/>
                <w:szCs w:val="18"/>
                <w:lang w:val="ro-MD" w:eastAsia="en-US"/>
              </w:rPr>
              <w:t> </w:t>
            </w:r>
            <w:r w:rsidRPr="002460E2">
              <w:rPr>
                <w:sz w:val="18"/>
                <w:szCs w:val="18"/>
                <w:lang w:val="ro-MD" w:eastAsia="en-US"/>
              </w:rPr>
              <w:t>;</w:t>
            </w:r>
          </w:p>
          <w:p w14:paraId="63520121" w14:textId="77777777" w:rsidR="00BB6D4C" w:rsidRPr="002460E2" w:rsidRDefault="00BB6D4C" w:rsidP="00BB6D4C">
            <w:pPr>
              <w:rPr>
                <w:sz w:val="18"/>
                <w:szCs w:val="18"/>
                <w:lang w:val="ro-MD" w:eastAsia="en-US"/>
              </w:rPr>
            </w:pPr>
            <w:r w:rsidRPr="002460E2">
              <w:rPr>
                <w:noProof/>
                <w:sz w:val="18"/>
                <w:szCs w:val="18"/>
                <w:lang w:val="en-US" w:eastAsia="en-US"/>
              </w:rPr>
              <w:drawing>
                <wp:inline distT="0" distB="0" distL="0" distR="0" wp14:anchorId="51EDB63E" wp14:editId="27753F68">
                  <wp:extent cx="683895" cy="254635"/>
                  <wp:effectExtent l="0" t="0" r="0" b="0"/>
                  <wp:docPr id="133" name="Pictur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2460E2">
              <w:rPr>
                <w:sz w:val="18"/>
                <w:szCs w:val="18"/>
                <w:lang w:val="ro-MD" w:eastAsia="en-US"/>
              </w:rPr>
              <w:t>= sensibilitățile instrumentului de acoperire eligibil i la un factor de risc de volatilitate implicită;</w:t>
            </w:r>
          </w:p>
          <w:p w14:paraId="5C023663" w14:textId="77777777" w:rsidR="00BB6D4C" w:rsidRPr="002460E2" w:rsidRDefault="00BB6D4C" w:rsidP="00BB6D4C">
            <w:pPr>
              <w:rPr>
                <w:sz w:val="18"/>
                <w:szCs w:val="18"/>
                <w:lang w:val="ro-MD" w:eastAsia="en-US"/>
              </w:rPr>
            </w:pPr>
            <w:r w:rsidRPr="002460E2">
              <w:rPr>
                <w:rFonts w:eastAsiaTheme="minorHAnsi"/>
                <w:i/>
                <w:iCs/>
                <w:color w:val="000000"/>
                <w:sz w:val="18"/>
                <w:szCs w:val="18"/>
                <w:shd w:val="clear" w:color="auto" w:fill="FFFFFF"/>
                <w:lang w:val="en-US" w:eastAsia="en-US"/>
              </w:rPr>
              <w:t>V</w:t>
            </w:r>
            <w:r w:rsidRPr="002460E2">
              <w:rPr>
                <w:rFonts w:eastAsiaTheme="minorHAnsi"/>
                <w:i/>
                <w:iCs/>
                <w:color w:val="000000"/>
                <w:sz w:val="18"/>
                <w:szCs w:val="18"/>
                <w:shd w:val="clear" w:color="auto" w:fill="FFFFFF"/>
                <w:vertAlign w:val="subscript"/>
                <w:lang w:val="en-US" w:eastAsia="en-US"/>
              </w:rPr>
              <w:t xml:space="preserve">i </w:t>
            </w:r>
            <w:r w:rsidRPr="002460E2">
              <w:rPr>
                <w:rFonts w:eastAsiaTheme="minorHAnsi"/>
                <w:i/>
                <w:iCs/>
                <w:color w:val="000000"/>
                <w:sz w:val="18"/>
                <w:szCs w:val="18"/>
                <w:shd w:val="clear" w:color="auto" w:fill="FFFFFF"/>
                <w:lang w:val="en-US" w:eastAsia="en-US"/>
              </w:rPr>
              <w:t xml:space="preserve">= </w:t>
            </w:r>
            <w:r w:rsidRPr="002460E2">
              <w:rPr>
                <w:sz w:val="18"/>
                <w:szCs w:val="18"/>
                <w:lang w:val="ro-MD" w:eastAsia="en-US"/>
              </w:rPr>
              <w:t>funcția de evaluare a acoperirii eligibile i;</w:t>
            </w:r>
          </w:p>
          <w:tbl>
            <w:tblPr>
              <w:tblW w:w="5000" w:type="pct"/>
              <w:tblLayout w:type="fixed"/>
              <w:tblCellMar>
                <w:left w:w="0" w:type="dxa"/>
                <w:right w:w="0" w:type="dxa"/>
              </w:tblCellMar>
              <w:tblLook w:val="04A0" w:firstRow="1" w:lastRow="0" w:firstColumn="1" w:lastColumn="0" w:noHBand="0" w:noVBand="1"/>
            </w:tblPr>
            <w:tblGrid>
              <w:gridCol w:w="3469"/>
            </w:tblGrid>
            <w:tr w:rsidR="00BB6D4C" w:rsidRPr="002460E2" w14:paraId="3D9FFD8A" w14:textId="77777777" w:rsidTr="003245BF">
              <w:tc>
                <w:tcPr>
                  <w:tcW w:w="9688" w:type="dxa"/>
                  <w:shd w:val="clear" w:color="auto" w:fill="auto"/>
                  <w:hideMark/>
                </w:tcPr>
                <w:p w14:paraId="5BED6747" w14:textId="77777777" w:rsidR="00BB6D4C" w:rsidRPr="002460E2" w:rsidRDefault="00BB6D4C" w:rsidP="00BB6D4C">
                  <w:pPr>
                    <w:tabs>
                      <w:tab w:val="left" w:pos="993"/>
                      <w:tab w:val="left" w:pos="1134"/>
                    </w:tabs>
                    <w:contextualSpacing/>
                    <w:jc w:val="both"/>
                    <w:rPr>
                      <w:color w:val="000000"/>
                      <w:sz w:val="18"/>
                      <w:szCs w:val="18"/>
                      <w:lang w:val="ro-MD" w:eastAsia="ro-MD"/>
                    </w:rPr>
                  </w:pPr>
                  <w:r w:rsidRPr="002460E2">
                    <w:rPr>
                      <w:i/>
                      <w:iCs/>
                      <w:sz w:val="18"/>
                      <w:szCs w:val="18"/>
                      <w:lang w:val="ro-MD" w:eastAsia="en-US"/>
                    </w:rPr>
                    <w:t>w, z</w:t>
                  </w:r>
                  <w:r w:rsidRPr="002460E2">
                    <w:rPr>
                      <w:sz w:val="18"/>
                      <w:szCs w:val="18"/>
                      <w:lang w:val="ro-MD" w:eastAsia="en-US"/>
                    </w:rPr>
                    <w:t xml:space="preserve"> = </w:t>
                  </w:r>
                  <w:r w:rsidRPr="002460E2">
                    <w:rPr>
                      <w:color w:val="000000"/>
                      <w:sz w:val="18"/>
                      <w:szCs w:val="18"/>
                      <w:lang w:val="ro-MD" w:eastAsia="ro-MD"/>
                    </w:rPr>
                    <w:t>alți factori de risc decât volk din funcția de evaluare </w:t>
                  </w:r>
                  <w:r w:rsidRPr="002460E2">
                    <w:rPr>
                      <w:i/>
                      <w:iCs/>
                      <w:color w:val="000000"/>
                      <w:sz w:val="18"/>
                      <w:szCs w:val="18"/>
                      <w:lang w:val="ro-MD" w:eastAsia="ro-MD"/>
                    </w:rPr>
                    <w:t>Vi.</w:t>
                  </w:r>
                </w:p>
              </w:tc>
            </w:tr>
          </w:tbl>
          <w:p w14:paraId="30FE1D7C" w14:textId="45EB5756" w:rsidR="008D7F28" w:rsidRPr="002460E2" w:rsidRDefault="008D7F28" w:rsidP="008D7F28">
            <w:pPr>
              <w:rPr>
                <w:bCs/>
                <w:i/>
                <w:iCs/>
                <w:sz w:val="18"/>
                <w:szCs w:val="18"/>
                <w:lang w:val="en-US"/>
              </w:rPr>
            </w:pPr>
          </w:p>
        </w:tc>
        <w:tc>
          <w:tcPr>
            <w:tcW w:w="1229" w:type="dxa"/>
          </w:tcPr>
          <w:p w14:paraId="1FBDE4A2" w14:textId="37D4F579"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2EAB7735" w14:textId="77777777" w:rsidR="008D7F28" w:rsidRPr="002460E2" w:rsidRDefault="008D7F28" w:rsidP="008D7F28">
            <w:pPr>
              <w:jc w:val="both"/>
              <w:rPr>
                <w:sz w:val="18"/>
                <w:szCs w:val="18"/>
                <w:lang w:val="ro-MD"/>
              </w:rPr>
            </w:pPr>
          </w:p>
        </w:tc>
      </w:tr>
      <w:tr w:rsidR="008D7F28" w:rsidRPr="002460E2" w14:paraId="3D24D771" w14:textId="77777777" w:rsidTr="003F5B3C">
        <w:trPr>
          <w:trHeight w:val="918"/>
        </w:trPr>
        <w:tc>
          <w:tcPr>
            <w:tcW w:w="4253" w:type="dxa"/>
          </w:tcPr>
          <w:p w14:paraId="657058C7" w14:textId="77777777" w:rsidR="008D7F28" w:rsidRPr="002460E2" w:rsidRDefault="008D7F28" w:rsidP="008D7F28">
            <w:pPr>
              <w:spacing w:line="259" w:lineRule="auto"/>
              <w:rPr>
                <w:rFonts w:eastAsia="Calibri"/>
                <w:i/>
                <w:iCs/>
                <w:kern w:val="2"/>
                <w:sz w:val="18"/>
                <w:szCs w:val="18"/>
                <w:lang w:val="ro-MD" w:eastAsia="en-US"/>
                <w14:ligatures w14:val="standardContextual"/>
              </w:rPr>
            </w:pPr>
            <w:r w:rsidRPr="002460E2">
              <w:rPr>
                <w:rFonts w:eastAsia="Calibri"/>
                <w:i/>
                <w:iCs/>
                <w:kern w:val="2"/>
                <w:sz w:val="18"/>
                <w:szCs w:val="18"/>
                <w:lang w:val="ro-MD" w:eastAsia="en-US"/>
                <w14:ligatures w14:val="standardContextual"/>
              </w:rPr>
              <w:t>Articolul 383k</w:t>
            </w:r>
          </w:p>
          <w:p w14:paraId="220AC793" w14:textId="77777777" w:rsidR="008D7F28" w:rsidRPr="002460E2" w:rsidRDefault="008D7F28" w:rsidP="008D7F28">
            <w:pPr>
              <w:spacing w:line="259" w:lineRule="auto"/>
              <w:rPr>
                <w:rFonts w:eastAsia="Calibri"/>
                <w:b/>
                <w:bCs/>
                <w:kern w:val="2"/>
                <w:sz w:val="18"/>
                <w:szCs w:val="18"/>
                <w:lang w:val="ro-MD" w:eastAsia="en-US"/>
                <w14:ligatures w14:val="standardContextual"/>
              </w:rPr>
            </w:pPr>
            <w:r w:rsidRPr="002460E2">
              <w:rPr>
                <w:rFonts w:eastAsia="Calibri"/>
                <w:b/>
                <w:bCs/>
                <w:kern w:val="2"/>
                <w:sz w:val="18"/>
                <w:szCs w:val="18"/>
                <w:lang w:val="ro-MD" w:eastAsia="en-US"/>
                <w14:ligatures w14:val="standardContextual"/>
              </w:rPr>
              <w:t>Ponderile de risc pentru riscul de rată a dobânzii</w:t>
            </w:r>
          </w:p>
          <w:p w14:paraId="4AD42BDA" w14:textId="706667C9" w:rsidR="008D7F28" w:rsidRPr="002460E2" w:rsidRDefault="008D7F28" w:rsidP="008D7F28">
            <w:pPr>
              <w:spacing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(1) Pentru monedele menționate la articolul 383c alineatul (2), ponderile de risc ale sensibilităților delta la rata fără risc pentru fiecare bandă din tabelul 1 sunt următoarele:</w:t>
            </w:r>
          </w:p>
          <w:p w14:paraId="27CC7F3B" w14:textId="77777777" w:rsidR="008D7F28" w:rsidRPr="002460E2" w:rsidRDefault="008D7F28" w:rsidP="008D7F28">
            <w:pPr>
              <w:spacing w:line="259" w:lineRule="auto"/>
              <w:rPr>
                <w:rFonts w:eastAsia="Calibri"/>
                <w:b/>
                <w:bCs/>
                <w:kern w:val="2"/>
                <w:sz w:val="18"/>
                <w:szCs w:val="18"/>
                <w:lang w:val="ro-MD" w:eastAsia="en-US"/>
                <w14:ligatures w14:val="standardContextual"/>
              </w:rPr>
            </w:pPr>
            <w:r w:rsidRPr="002460E2">
              <w:rPr>
                <w:rFonts w:eastAsia="Calibri"/>
                <w:b/>
                <w:bCs/>
                <w:i/>
                <w:iCs/>
                <w:kern w:val="2"/>
                <w:sz w:val="18"/>
                <w:szCs w:val="18"/>
                <w:lang w:val="ro-MD" w:eastAsia="en-US"/>
                <w14:ligatures w14:val="standardContextual"/>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746"/>
              <w:gridCol w:w="1065"/>
              <w:gridCol w:w="1789"/>
            </w:tblGrid>
            <w:tr w:rsidR="008D7F28" w:rsidRPr="002460E2" w14:paraId="18DA5605"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39B89F" w14:textId="77777777" w:rsidR="008D7F28" w:rsidRPr="002460E2" w:rsidRDefault="008D7F28" w:rsidP="008D7F28">
                  <w:pPr>
                    <w:spacing w:after="160" w:line="259" w:lineRule="auto"/>
                    <w:rPr>
                      <w:rFonts w:eastAsia="Calibri"/>
                      <w:b/>
                      <w:bCs/>
                      <w:kern w:val="2"/>
                      <w:sz w:val="18"/>
                      <w:szCs w:val="18"/>
                      <w:lang w:val="ro-MD" w:eastAsia="en-US"/>
                      <w14:ligatures w14:val="standardContextual"/>
                    </w:rPr>
                  </w:pPr>
                  <w:r w:rsidRPr="002460E2">
                    <w:rPr>
                      <w:rFonts w:eastAsia="Calibri"/>
                      <w:b/>
                      <w:bCs/>
                      <w:kern w:val="2"/>
                      <w:sz w:val="18"/>
                      <w:szCs w:val="18"/>
                      <w:lang w:val="ro-MD" w:eastAsia="en-US"/>
                      <w14:ligatures w14:val="standardContextual"/>
                    </w:rPr>
                    <w:t>Bandă</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6CA2D3" w14:textId="77777777" w:rsidR="008D7F28" w:rsidRPr="002460E2" w:rsidRDefault="008D7F28" w:rsidP="008D7F28">
                  <w:pPr>
                    <w:spacing w:after="160" w:line="259" w:lineRule="auto"/>
                    <w:rPr>
                      <w:rFonts w:eastAsia="Calibri"/>
                      <w:b/>
                      <w:bCs/>
                      <w:kern w:val="2"/>
                      <w:sz w:val="18"/>
                      <w:szCs w:val="18"/>
                      <w:lang w:val="ro-MD" w:eastAsia="en-US"/>
                      <w14:ligatures w14:val="standardContextual"/>
                    </w:rPr>
                  </w:pPr>
                  <w:r w:rsidRPr="002460E2">
                    <w:rPr>
                      <w:rFonts w:eastAsia="Calibri"/>
                      <w:b/>
                      <w:bCs/>
                      <w:kern w:val="2"/>
                      <w:sz w:val="18"/>
                      <w:szCs w:val="18"/>
                      <w:lang w:val="ro-MD" w:eastAsia="en-US"/>
                      <w14:ligatures w14:val="standardContextual"/>
                    </w:rPr>
                    <w:t>Scadență</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AF4442" w14:textId="77777777" w:rsidR="008D7F28" w:rsidRPr="002460E2" w:rsidRDefault="008D7F28" w:rsidP="008D7F28">
                  <w:pPr>
                    <w:spacing w:after="160" w:line="259" w:lineRule="auto"/>
                    <w:rPr>
                      <w:rFonts w:eastAsia="Calibri"/>
                      <w:b/>
                      <w:bCs/>
                      <w:kern w:val="2"/>
                      <w:sz w:val="18"/>
                      <w:szCs w:val="18"/>
                      <w:lang w:val="ro-MD" w:eastAsia="en-US"/>
                      <w14:ligatures w14:val="standardContextual"/>
                    </w:rPr>
                  </w:pPr>
                  <w:r w:rsidRPr="002460E2">
                    <w:rPr>
                      <w:rFonts w:eastAsia="Calibri"/>
                      <w:b/>
                      <w:bCs/>
                      <w:kern w:val="2"/>
                      <w:sz w:val="18"/>
                      <w:szCs w:val="18"/>
                      <w:lang w:val="ro-MD" w:eastAsia="en-US"/>
                      <w14:ligatures w14:val="standardContextual"/>
                    </w:rPr>
                    <w:t>Pondere de risc</w:t>
                  </w:r>
                </w:p>
              </w:tc>
            </w:tr>
            <w:tr w:rsidR="008D7F28" w:rsidRPr="002460E2" w14:paraId="2C6F2FDD"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22C095"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1</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42D88A"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1 an</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79F9C1"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1,11  %</w:t>
                  </w:r>
                </w:p>
              </w:tc>
            </w:tr>
            <w:tr w:rsidR="008D7F28" w:rsidRPr="002460E2" w14:paraId="0B5F194B"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C0774"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2</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06C2A2"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2 ani</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65A45B"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0,93  %</w:t>
                  </w:r>
                </w:p>
              </w:tc>
            </w:tr>
            <w:tr w:rsidR="008D7F28" w:rsidRPr="002460E2" w14:paraId="2EDBDDCD"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5A0ABE"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3</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5AF337"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5 ani</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3156CD"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0,74  %</w:t>
                  </w:r>
                </w:p>
              </w:tc>
            </w:tr>
            <w:tr w:rsidR="008D7F28" w:rsidRPr="002460E2" w14:paraId="30FD4EB5"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D8C788"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4</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6B7FE0"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10 ani</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159B8E"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0,74  %</w:t>
                  </w:r>
                </w:p>
              </w:tc>
            </w:tr>
            <w:tr w:rsidR="008D7F28" w:rsidRPr="002460E2" w14:paraId="6CDE6A23" w14:textId="77777777" w:rsidTr="000E21FB">
              <w:trPr>
                <w:jc w:val="center"/>
              </w:trPr>
              <w:tc>
                <w:tcPr>
                  <w:tcW w:w="7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C15178"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5</w:t>
                  </w:r>
                </w:p>
              </w:tc>
              <w:tc>
                <w:tcPr>
                  <w:tcW w:w="106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5F28A9"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30 de ani</w:t>
                  </w:r>
                </w:p>
              </w:tc>
              <w:tc>
                <w:tcPr>
                  <w:tcW w:w="178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A79A7C" w14:textId="77777777"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0,74  %</w:t>
                  </w:r>
                </w:p>
              </w:tc>
            </w:tr>
          </w:tbl>
          <w:p w14:paraId="7AC1B11D" w14:textId="26EE702B" w:rsidR="008D7F28" w:rsidRPr="002460E2" w:rsidRDefault="008D7F28" w:rsidP="008D7F28">
            <w:pPr>
              <w:spacing w:after="160" w:line="259" w:lineRule="auto"/>
              <w:rPr>
                <w:rFonts w:eastAsia="Calibri"/>
                <w:kern w:val="2"/>
                <w:sz w:val="18"/>
                <w:szCs w:val="18"/>
                <w:lang w:val="ro-MD" w:eastAsia="en-US"/>
                <w14:ligatures w14:val="standardContextual"/>
              </w:rPr>
            </w:pPr>
          </w:p>
        </w:tc>
        <w:tc>
          <w:tcPr>
            <w:tcW w:w="3685" w:type="dxa"/>
            <w:shd w:val="clear" w:color="auto" w:fill="auto"/>
          </w:tcPr>
          <w:p w14:paraId="20B5AABF" w14:textId="77777777" w:rsidR="00BB6D4C" w:rsidRPr="002460E2" w:rsidRDefault="00BB6D4C" w:rsidP="00BB6D4C">
            <w:pPr>
              <w:ind w:left="786"/>
              <w:contextualSpacing/>
              <w:jc w:val="center"/>
              <w:rPr>
                <w:i/>
                <w:iCs/>
                <w:sz w:val="18"/>
                <w:szCs w:val="18"/>
                <w:lang w:val="ro-MD" w:eastAsia="en-US"/>
              </w:rPr>
            </w:pPr>
            <w:r w:rsidRPr="002460E2">
              <w:rPr>
                <w:i/>
                <w:iCs/>
                <w:sz w:val="18"/>
                <w:szCs w:val="18"/>
                <w:lang w:val="ro-MD" w:eastAsia="en-US"/>
              </w:rPr>
              <w:t>Secțiunea a 11-a</w:t>
            </w:r>
          </w:p>
          <w:p w14:paraId="74643681" w14:textId="77777777" w:rsidR="00BB6D4C" w:rsidRPr="002460E2" w:rsidRDefault="00BB6D4C" w:rsidP="00BB6D4C">
            <w:pPr>
              <w:spacing w:after="160" w:line="259" w:lineRule="auto"/>
              <w:contextualSpacing/>
              <w:jc w:val="center"/>
              <w:rPr>
                <w:b/>
                <w:bCs/>
                <w:sz w:val="18"/>
                <w:szCs w:val="18"/>
                <w:lang w:val="ro-MD" w:eastAsia="en-US"/>
              </w:rPr>
            </w:pPr>
            <w:r w:rsidRPr="002460E2">
              <w:rPr>
                <w:b/>
                <w:bCs/>
                <w:sz w:val="18"/>
                <w:szCs w:val="18"/>
                <w:lang w:val="ro-MD" w:eastAsia="en-US"/>
              </w:rPr>
              <w:t>Ponderile de risc pentru riscul de rată a dobânzii</w:t>
            </w:r>
          </w:p>
          <w:p w14:paraId="438BD9E4" w14:textId="77777777" w:rsidR="00BB6D4C" w:rsidRPr="002460E2" w:rsidRDefault="00BB6D4C" w:rsidP="00BB6D4C">
            <w:pPr>
              <w:spacing w:after="160" w:line="259" w:lineRule="auto"/>
              <w:contextualSpacing/>
              <w:jc w:val="center"/>
              <w:rPr>
                <w:b/>
                <w:bCs/>
                <w:sz w:val="18"/>
                <w:szCs w:val="18"/>
                <w:lang w:val="ro-MD" w:eastAsia="en-US"/>
              </w:rPr>
            </w:pPr>
          </w:p>
          <w:p w14:paraId="6732D060" w14:textId="2B63E8A3" w:rsidR="00BB6D4C" w:rsidRPr="002460E2" w:rsidRDefault="00B12EE5" w:rsidP="00BB6D4C">
            <w:pPr>
              <w:spacing w:after="160" w:line="259" w:lineRule="auto"/>
              <w:jc w:val="both"/>
              <w:rPr>
                <w:rFonts w:eastAsia="Calibri"/>
                <w:kern w:val="2"/>
                <w:sz w:val="18"/>
                <w:szCs w:val="18"/>
                <w:lang w:val="ro-MD" w:eastAsia="en-US"/>
              </w:rPr>
            </w:pPr>
            <w:r w:rsidRPr="002460E2">
              <w:rPr>
                <w:rFonts w:eastAsia="Calibri"/>
                <w:kern w:val="2"/>
                <w:sz w:val="18"/>
                <w:szCs w:val="18"/>
                <w:lang w:val="ro-MD" w:eastAsia="en-US"/>
              </w:rPr>
              <w:t>70</w:t>
            </w:r>
            <w:r w:rsidR="00BB6D4C" w:rsidRPr="002460E2">
              <w:rPr>
                <w:rFonts w:eastAsia="Calibri"/>
                <w:kern w:val="2"/>
                <w:sz w:val="18"/>
                <w:szCs w:val="18"/>
                <w:lang w:val="ro-MD" w:eastAsia="en-US"/>
              </w:rPr>
              <w:t xml:space="preserve">. Pentru monedele menționate la punctul </w:t>
            </w:r>
            <w:r w:rsidRPr="002460E2">
              <w:rPr>
                <w:rFonts w:eastAsia="Calibri"/>
                <w:kern w:val="2"/>
                <w:sz w:val="18"/>
                <w:szCs w:val="18"/>
                <w:lang w:val="ro-MD" w:eastAsia="en-US"/>
              </w:rPr>
              <w:t>44,</w:t>
            </w:r>
            <w:r w:rsidR="00BB6D4C" w:rsidRPr="002460E2">
              <w:rPr>
                <w:rFonts w:eastAsia="Calibri"/>
                <w:kern w:val="2"/>
                <w:sz w:val="18"/>
                <w:szCs w:val="18"/>
                <w:lang w:val="ro-MD" w:eastAsia="en-US"/>
              </w:rPr>
              <w:t xml:space="preserve"> ponderile de risc ale sensibilităților delta la rata fără risc pentru fiecare bandă din tabelul 1 sunt următoarele:</w:t>
            </w:r>
          </w:p>
          <w:p w14:paraId="2370D6D5" w14:textId="77777777" w:rsidR="00BB6D4C" w:rsidRPr="002460E2" w:rsidRDefault="00BB6D4C" w:rsidP="00BB6D4C">
            <w:pPr>
              <w:spacing w:after="160" w:line="259" w:lineRule="auto"/>
              <w:jc w:val="right"/>
              <w:rPr>
                <w:rFonts w:eastAsia="Calibri"/>
                <w:kern w:val="2"/>
                <w:sz w:val="18"/>
                <w:szCs w:val="18"/>
                <w:lang w:val="ro-MD" w:eastAsia="en-US"/>
              </w:rPr>
            </w:pPr>
            <w:r w:rsidRPr="002460E2">
              <w:rPr>
                <w:rFonts w:eastAsia="Calibri"/>
                <w:i/>
                <w:iCs/>
                <w:kern w:val="2"/>
                <w:sz w:val="18"/>
                <w:szCs w:val="18"/>
                <w:lang w:val="ro-MD" w:eastAsia="en-US"/>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762"/>
              <w:gridCol w:w="1058"/>
              <w:gridCol w:w="1780"/>
            </w:tblGrid>
            <w:tr w:rsidR="00BB6D4C" w:rsidRPr="002460E2" w14:paraId="0AFAA3EB"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EE68B2" w14:textId="77777777" w:rsidR="00BB6D4C" w:rsidRPr="002460E2" w:rsidRDefault="00BB6D4C" w:rsidP="00BB6D4C">
                  <w:pPr>
                    <w:spacing w:after="160" w:line="259" w:lineRule="auto"/>
                    <w:rPr>
                      <w:rFonts w:eastAsia="Calibri"/>
                      <w:b/>
                      <w:bCs/>
                      <w:kern w:val="2"/>
                      <w:sz w:val="18"/>
                      <w:szCs w:val="18"/>
                      <w:lang w:val="ro-MD" w:eastAsia="en-US"/>
                    </w:rPr>
                  </w:pPr>
                  <w:r w:rsidRPr="002460E2">
                    <w:rPr>
                      <w:rFonts w:eastAsia="Calibri"/>
                      <w:b/>
                      <w:bCs/>
                      <w:kern w:val="2"/>
                      <w:sz w:val="18"/>
                      <w:szCs w:val="18"/>
                      <w:lang w:val="ro-MD" w:eastAsia="en-US"/>
                    </w:rPr>
                    <w:t>Bandă</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333ACB" w14:textId="77777777" w:rsidR="00BB6D4C" w:rsidRPr="002460E2" w:rsidRDefault="00BB6D4C" w:rsidP="00BB6D4C">
                  <w:pPr>
                    <w:spacing w:after="160" w:line="259" w:lineRule="auto"/>
                    <w:rPr>
                      <w:rFonts w:eastAsia="Calibri"/>
                      <w:b/>
                      <w:bCs/>
                      <w:kern w:val="2"/>
                      <w:sz w:val="18"/>
                      <w:szCs w:val="18"/>
                      <w:lang w:val="ro-MD" w:eastAsia="en-US"/>
                    </w:rPr>
                  </w:pPr>
                  <w:r w:rsidRPr="002460E2">
                    <w:rPr>
                      <w:rFonts w:eastAsia="Calibri"/>
                      <w:b/>
                      <w:bCs/>
                      <w:kern w:val="2"/>
                      <w:sz w:val="18"/>
                      <w:szCs w:val="18"/>
                      <w:lang w:val="ro-MD" w:eastAsia="en-US"/>
                    </w:rPr>
                    <w:t>Scadență</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637E8D" w14:textId="77777777" w:rsidR="00BB6D4C" w:rsidRPr="002460E2" w:rsidRDefault="00BB6D4C" w:rsidP="00BB6D4C">
                  <w:pPr>
                    <w:spacing w:after="160" w:line="259" w:lineRule="auto"/>
                    <w:rPr>
                      <w:rFonts w:eastAsia="Calibri"/>
                      <w:b/>
                      <w:bCs/>
                      <w:kern w:val="2"/>
                      <w:sz w:val="18"/>
                      <w:szCs w:val="18"/>
                      <w:lang w:val="ro-MD" w:eastAsia="en-US"/>
                    </w:rPr>
                  </w:pPr>
                  <w:r w:rsidRPr="002460E2">
                    <w:rPr>
                      <w:rFonts w:eastAsia="Calibri"/>
                      <w:b/>
                      <w:bCs/>
                      <w:kern w:val="2"/>
                      <w:sz w:val="18"/>
                      <w:szCs w:val="18"/>
                      <w:lang w:val="ro-MD" w:eastAsia="en-US"/>
                    </w:rPr>
                    <w:t>Pondere de risc</w:t>
                  </w:r>
                </w:p>
              </w:tc>
            </w:tr>
            <w:tr w:rsidR="00BB6D4C" w:rsidRPr="002460E2" w14:paraId="12521A39"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F26CB"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1</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300AF7"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1 an</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21A209"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1,11  %</w:t>
                  </w:r>
                </w:p>
              </w:tc>
            </w:tr>
            <w:tr w:rsidR="00BB6D4C" w:rsidRPr="002460E2" w14:paraId="720A8022"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C4C635"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2</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F4E6BA"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2 ani</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4430A2"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0,93  %</w:t>
                  </w:r>
                </w:p>
              </w:tc>
            </w:tr>
            <w:tr w:rsidR="00BB6D4C" w:rsidRPr="002460E2" w14:paraId="3D75E7E7"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E27B8F"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3</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AAE34E"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5 ani</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DF16AE"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0,74  %</w:t>
                  </w:r>
                </w:p>
              </w:tc>
            </w:tr>
            <w:tr w:rsidR="00BB6D4C" w:rsidRPr="002460E2" w14:paraId="48EAF9AF"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4E68D3"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lastRenderedPageBreak/>
                    <w:t>4</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1853AD"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10 ani</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4ED269"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0,74  %</w:t>
                  </w:r>
                </w:p>
              </w:tc>
            </w:tr>
            <w:tr w:rsidR="00BB6D4C" w:rsidRPr="002460E2" w14:paraId="2DD27F25" w14:textId="77777777" w:rsidTr="003245BF">
              <w:trPr>
                <w:jc w:val="center"/>
              </w:trPr>
              <w:tc>
                <w:tcPr>
                  <w:tcW w:w="7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798C02"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5</w:t>
                  </w:r>
                </w:p>
              </w:tc>
              <w:tc>
                <w:tcPr>
                  <w:tcW w:w="10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FD15F9"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30 de ani</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40C500" w14:textId="77777777" w:rsidR="00BB6D4C" w:rsidRPr="002460E2" w:rsidRDefault="00BB6D4C" w:rsidP="00BB6D4C">
                  <w:pPr>
                    <w:spacing w:after="160" w:line="259" w:lineRule="auto"/>
                    <w:rPr>
                      <w:rFonts w:eastAsia="Calibri"/>
                      <w:kern w:val="2"/>
                      <w:sz w:val="18"/>
                      <w:szCs w:val="18"/>
                      <w:lang w:val="ro-MD" w:eastAsia="en-US"/>
                    </w:rPr>
                  </w:pPr>
                  <w:r w:rsidRPr="002460E2">
                    <w:rPr>
                      <w:rFonts w:eastAsia="Calibri"/>
                      <w:kern w:val="2"/>
                      <w:sz w:val="18"/>
                      <w:szCs w:val="18"/>
                      <w:lang w:val="ro-MD" w:eastAsia="en-US"/>
                    </w:rPr>
                    <w:t>0,74  %</w:t>
                  </w:r>
                </w:p>
              </w:tc>
            </w:tr>
          </w:tbl>
          <w:p w14:paraId="73B49001" w14:textId="7DD21ADA" w:rsidR="008D7F28" w:rsidRPr="002460E2" w:rsidRDefault="008D7F28" w:rsidP="00BB6D4C">
            <w:pPr>
              <w:spacing w:line="259" w:lineRule="auto"/>
              <w:jc w:val="both"/>
              <w:rPr>
                <w:rFonts w:eastAsia="Calibri"/>
                <w:kern w:val="2"/>
                <w:sz w:val="18"/>
                <w:szCs w:val="18"/>
                <w:lang w:val="ro-MD" w:eastAsia="en-US"/>
              </w:rPr>
            </w:pPr>
          </w:p>
        </w:tc>
        <w:tc>
          <w:tcPr>
            <w:tcW w:w="1229" w:type="dxa"/>
          </w:tcPr>
          <w:p w14:paraId="71057AE9" w14:textId="691A2BE6" w:rsidR="008D7F28" w:rsidRPr="002460E2" w:rsidRDefault="00233328" w:rsidP="008D7F28">
            <w:pPr>
              <w:jc w:val="both"/>
              <w:rPr>
                <w:sz w:val="18"/>
                <w:szCs w:val="18"/>
                <w:lang w:val="ro-MD"/>
              </w:rPr>
            </w:pPr>
            <w:r>
              <w:rPr>
                <w:sz w:val="18"/>
                <w:szCs w:val="18"/>
                <w:lang w:val="ro-MD"/>
              </w:rPr>
              <w:lastRenderedPageBreak/>
              <w:t>c</w:t>
            </w:r>
            <w:r w:rsidR="008D7F28" w:rsidRPr="002460E2">
              <w:rPr>
                <w:sz w:val="18"/>
                <w:szCs w:val="18"/>
                <w:lang w:val="ro-MD"/>
              </w:rPr>
              <w:t>ompatibil</w:t>
            </w:r>
          </w:p>
        </w:tc>
        <w:tc>
          <w:tcPr>
            <w:tcW w:w="5292" w:type="dxa"/>
            <w:tcBorders>
              <w:top w:val="single" w:sz="4" w:space="0" w:color="auto"/>
              <w:bottom w:val="single" w:sz="4" w:space="0" w:color="auto"/>
            </w:tcBorders>
          </w:tcPr>
          <w:p w14:paraId="62CD8F53" w14:textId="77777777" w:rsidR="008D7F28" w:rsidRPr="002460E2" w:rsidRDefault="008D7F28" w:rsidP="008D7F28">
            <w:pPr>
              <w:jc w:val="both"/>
              <w:rPr>
                <w:sz w:val="18"/>
                <w:szCs w:val="18"/>
                <w:lang w:val="ro-MD"/>
              </w:rPr>
            </w:pPr>
          </w:p>
        </w:tc>
      </w:tr>
      <w:tr w:rsidR="008D7F28" w:rsidRPr="002460E2" w14:paraId="3FB78C48" w14:textId="77777777" w:rsidTr="003F5B3C">
        <w:trPr>
          <w:trHeight w:val="918"/>
        </w:trPr>
        <w:tc>
          <w:tcPr>
            <w:tcW w:w="4253" w:type="dxa"/>
          </w:tcPr>
          <w:p w14:paraId="35F9356B" w14:textId="679C4BA6"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(2) Pentru alte monede decât cele menționate la articolul 383c alineatul (2), ponderea de risc a sensibilităților delta la rata fără risc este de 1,58  %.</w:t>
            </w:r>
          </w:p>
        </w:tc>
        <w:tc>
          <w:tcPr>
            <w:tcW w:w="3685" w:type="dxa"/>
            <w:shd w:val="clear" w:color="auto" w:fill="auto"/>
          </w:tcPr>
          <w:p w14:paraId="401C09E9" w14:textId="671795EC" w:rsidR="00F94EE1" w:rsidRPr="002460E2" w:rsidRDefault="00B12EE5" w:rsidP="00F94EE1">
            <w:pPr>
              <w:spacing w:line="259" w:lineRule="auto"/>
              <w:jc w:val="both"/>
              <w:rPr>
                <w:rFonts w:eastAsia="Calibri"/>
                <w:kern w:val="2"/>
                <w:sz w:val="18"/>
                <w:szCs w:val="18"/>
                <w:lang w:val="ro-MD" w:eastAsia="en-US"/>
              </w:rPr>
            </w:pPr>
            <w:r w:rsidRPr="002460E2">
              <w:rPr>
                <w:rFonts w:eastAsia="Calibri"/>
                <w:kern w:val="2"/>
                <w:sz w:val="18"/>
                <w:szCs w:val="18"/>
                <w:lang w:val="ro-MD" w:eastAsia="en-US"/>
              </w:rPr>
              <w:t>71</w:t>
            </w:r>
            <w:r w:rsidR="00F94EE1" w:rsidRPr="002460E2">
              <w:rPr>
                <w:rFonts w:eastAsia="Calibri"/>
                <w:kern w:val="2"/>
                <w:sz w:val="18"/>
                <w:szCs w:val="18"/>
                <w:lang w:val="ro-MD" w:eastAsia="en-US"/>
              </w:rPr>
              <w:t xml:space="preserve">. Pentru alte monede decât cele menționate la punctul </w:t>
            </w:r>
            <w:r w:rsidRPr="002460E2">
              <w:rPr>
                <w:rFonts w:eastAsia="Calibri"/>
                <w:kern w:val="2"/>
                <w:sz w:val="18"/>
                <w:szCs w:val="18"/>
                <w:lang w:val="ro-MD" w:eastAsia="en-US"/>
              </w:rPr>
              <w:t>44</w:t>
            </w:r>
            <w:r w:rsidR="00F94EE1" w:rsidRPr="002460E2">
              <w:rPr>
                <w:rFonts w:eastAsia="Calibri"/>
                <w:kern w:val="2"/>
                <w:sz w:val="18"/>
                <w:szCs w:val="18"/>
                <w:lang w:val="ro-MD" w:eastAsia="en-US"/>
              </w:rPr>
              <w:t>, ponderea de risc a sensibilităților delta la rata fără risc este de 1,58%.</w:t>
            </w:r>
          </w:p>
          <w:p w14:paraId="3483268A" w14:textId="77777777" w:rsidR="00F94EE1" w:rsidRPr="002460E2" w:rsidRDefault="00F94EE1" w:rsidP="00F94EE1">
            <w:pPr>
              <w:rPr>
                <w:sz w:val="18"/>
                <w:szCs w:val="18"/>
                <w:lang w:val="ro-MD" w:eastAsia="en-US"/>
              </w:rPr>
            </w:pPr>
          </w:p>
        </w:tc>
        <w:tc>
          <w:tcPr>
            <w:tcW w:w="1229" w:type="dxa"/>
          </w:tcPr>
          <w:p w14:paraId="1C5B0251" w14:textId="77777777" w:rsidR="00233328" w:rsidRDefault="00233328" w:rsidP="008D7F28">
            <w:pPr>
              <w:jc w:val="both"/>
              <w:rPr>
                <w:sz w:val="18"/>
                <w:szCs w:val="18"/>
                <w:lang w:val="ro-MD"/>
              </w:rPr>
            </w:pPr>
          </w:p>
          <w:p w14:paraId="266A51ED" w14:textId="6A74A521" w:rsidR="008D7F28" w:rsidRPr="002460E2" w:rsidRDefault="00233328" w:rsidP="008D7F28">
            <w:pPr>
              <w:jc w:val="both"/>
              <w:rPr>
                <w:sz w:val="18"/>
                <w:szCs w:val="18"/>
                <w:lang w:val="ro-MD"/>
              </w:rPr>
            </w:pPr>
            <w:r>
              <w:rPr>
                <w:sz w:val="18"/>
                <w:szCs w:val="18"/>
                <w:lang w:val="ro-MD"/>
              </w:rPr>
              <w:t>c</w:t>
            </w:r>
            <w:r w:rsidR="004918A3" w:rsidRPr="002460E2">
              <w:rPr>
                <w:sz w:val="18"/>
                <w:szCs w:val="18"/>
                <w:lang w:val="ro-MD"/>
              </w:rPr>
              <w:t>ompatibil</w:t>
            </w:r>
          </w:p>
        </w:tc>
        <w:tc>
          <w:tcPr>
            <w:tcW w:w="5292" w:type="dxa"/>
            <w:tcBorders>
              <w:top w:val="single" w:sz="4" w:space="0" w:color="auto"/>
              <w:bottom w:val="single" w:sz="4" w:space="0" w:color="auto"/>
            </w:tcBorders>
          </w:tcPr>
          <w:p w14:paraId="57D5CA1D" w14:textId="77777777" w:rsidR="008D7F28" w:rsidRPr="002460E2" w:rsidRDefault="008D7F28" w:rsidP="008D7F28">
            <w:pPr>
              <w:jc w:val="both"/>
              <w:rPr>
                <w:sz w:val="18"/>
                <w:szCs w:val="18"/>
                <w:lang w:val="ro-MD"/>
              </w:rPr>
            </w:pPr>
          </w:p>
        </w:tc>
      </w:tr>
      <w:tr w:rsidR="008D7F28" w:rsidRPr="002460E2" w14:paraId="5A9A0897" w14:textId="77777777" w:rsidTr="003F5B3C">
        <w:trPr>
          <w:trHeight w:val="918"/>
        </w:trPr>
        <w:tc>
          <w:tcPr>
            <w:tcW w:w="4253" w:type="dxa"/>
          </w:tcPr>
          <w:p w14:paraId="289539D4" w14:textId="28002F09"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(3) Pentru riscul de rată a inflației denominat în una dintre monedele menționate la articolul 383c alineatul (2), ponderea de risc a sensibilității delta la riscul de rată a inflației este de 1,11  %.</w:t>
            </w:r>
          </w:p>
        </w:tc>
        <w:tc>
          <w:tcPr>
            <w:tcW w:w="3685" w:type="dxa"/>
            <w:shd w:val="clear" w:color="auto" w:fill="auto"/>
          </w:tcPr>
          <w:p w14:paraId="5CBBCAF1" w14:textId="45479D69" w:rsidR="00F94EE1" w:rsidRPr="002460E2" w:rsidRDefault="00B12EE5" w:rsidP="00F94EE1">
            <w:pPr>
              <w:spacing w:line="259" w:lineRule="auto"/>
              <w:jc w:val="both"/>
              <w:rPr>
                <w:rFonts w:eastAsia="Calibri"/>
                <w:kern w:val="2"/>
                <w:sz w:val="18"/>
                <w:szCs w:val="18"/>
                <w:lang w:val="ro-MD" w:eastAsia="en-US"/>
              </w:rPr>
            </w:pPr>
            <w:r w:rsidRPr="002460E2">
              <w:rPr>
                <w:rFonts w:eastAsia="Calibri"/>
                <w:kern w:val="2"/>
                <w:sz w:val="18"/>
                <w:szCs w:val="18"/>
                <w:lang w:val="ro-MD" w:eastAsia="en-US"/>
              </w:rPr>
              <w:t>72</w:t>
            </w:r>
            <w:r w:rsidR="00F94EE1" w:rsidRPr="002460E2">
              <w:rPr>
                <w:rFonts w:eastAsia="Calibri"/>
                <w:kern w:val="2"/>
                <w:sz w:val="18"/>
                <w:szCs w:val="18"/>
                <w:lang w:val="ro-MD" w:eastAsia="en-US"/>
              </w:rPr>
              <w:t xml:space="preserve">. Pentru riscul de rată a inflației denominat în una dintre monedele menționate la punctul </w:t>
            </w:r>
            <w:r w:rsidRPr="002460E2">
              <w:rPr>
                <w:rFonts w:eastAsia="Calibri"/>
                <w:kern w:val="2"/>
                <w:sz w:val="18"/>
                <w:szCs w:val="18"/>
                <w:lang w:val="ro-MD" w:eastAsia="en-US"/>
              </w:rPr>
              <w:t>44</w:t>
            </w:r>
            <w:r w:rsidR="00F94EE1" w:rsidRPr="002460E2">
              <w:rPr>
                <w:rFonts w:eastAsia="Calibri"/>
                <w:kern w:val="2"/>
                <w:sz w:val="18"/>
                <w:szCs w:val="18"/>
                <w:lang w:val="ro-MD" w:eastAsia="en-US"/>
              </w:rPr>
              <w:t>, ponderea de risc a sensibilității delta la riscul de rată a inflației este de 1,11  %.</w:t>
            </w:r>
          </w:p>
          <w:p w14:paraId="7FD840D2" w14:textId="77777777" w:rsidR="008D7F28" w:rsidRPr="002460E2" w:rsidRDefault="008D7F28" w:rsidP="008D7F28">
            <w:pPr>
              <w:jc w:val="center"/>
              <w:rPr>
                <w:bCs/>
                <w:i/>
                <w:iCs/>
                <w:sz w:val="18"/>
                <w:szCs w:val="18"/>
                <w:lang w:val="ro-MD" w:eastAsia="en-US"/>
              </w:rPr>
            </w:pPr>
          </w:p>
        </w:tc>
        <w:tc>
          <w:tcPr>
            <w:tcW w:w="1229" w:type="dxa"/>
          </w:tcPr>
          <w:p w14:paraId="263BAB15" w14:textId="67F18BB9" w:rsidR="008D7F28" w:rsidRPr="002460E2" w:rsidRDefault="00233328" w:rsidP="008D7F28">
            <w:pPr>
              <w:jc w:val="both"/>
              <w:rPr>
                <w:sz w:val="18"/>
                <w:szCs w:val="18"/>
                <w:lang w:val="en-US"/>
              </w:rPr>
            </w:pPr>
            <w:r>
              <w:rPr>
                <w:sz w:val="18"/>
                <w:szCs w:val="18"/>
                <w:lang w:val="ro-MD"/>
              </w:rPr>
              <w:t>c</w:t>
            </w:r>
            <w:r w:rsidR="008D7F28" w:rsidRPr="002460E2">
              <w:rPr>
                <w:sz w:val="18"/>
                <w:szCs w:val="18"/>
                <w:lang w:val="ro-MD"/>
              </w:rPr>
              <w:t>ompatibil</w:t>
            </w:r>
          </w:p>
        </w:tc>
        <w:tc>
          <w:tcPr>
            <w:tcW w:w="5292" w:type="dxa"/>
            <w:tcBorders>
              <w:top w:val="single" w:sz="4" w:space="0" w:color="auto"/>
              <w:bottom w:val="single" w:sz="4" w:space="0" w:color="auto"/>
            </w:tcBorders>
          </w:tcPr>
          <w:p w14:paraId="72B3635F" w14:textId="77777777" w:rsidR="008D7F28" w:rsidRPr="002460E2" w:rsidRDefault="008D7F28" w:rsidP="008D7F28">
            <w:pPr>
              <w:jc w:val="both"/>
              <w:rPr>
                <w:sz w:val="18"/>
                <w:szCs w:val="18"/>
                <w:lang w:val="ro-MD"/>
              </w:rPr>
            </w:pPr>
          </w:p>
        </w:tc>
      </w:tr>
      <w:tr w:rsidR="008D7F28" w:rsidRPr="002460E2" w14:paraId="312D1C61" w14:textId="77777777" w:rsidTr="003F5B3C">
        <w:trPr>
          <w:trHeight w:val="918"/>
        </w:trPr>
        <w:tc>
          <w:tcPr>
            <w:tcW w:w="4253" w:type="dxa"/>
          </w:tcPr>
          <w:p w14:paraId="7C73A9C1" w14:textId="1F9826F5"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(4) Pentru riscul de inflație denominat în altă monedă decât cele menționate la articolul 383c alineatul (2), ponderea de risc a sensibilității delta la riscul de rată a inflației este de 1,58  %.</w:t>
            </w:r>
          </w:p>
        </w:tc>
        <w:tc>
          <w:tcPr>
            <w:tcW w:w="3685" w:type="dxa"/>
            <w:shd w:val="clear" w:color="auto" w:fill="auto"/>
          </w:tcPr>
          <w:p w14:paraId="16DABE28" w14:textId="7396914E" w:rsidR="00F94EE1" w:rsidRPr="002460E2" w:rsidRDefault="00B12EE5" w:rsidP="00F94EE1">
            <w:pPr>
              <w:spacing w:line="259" w:lineRule="auto"/>
              <w:jc w:val="both"/>
              <w:rPr>
                <w:rFonts w:eastAsia="Calibri"/>
                <w:kern w:val="2"/>
                <w:sz w:val="18"/>
                <w:szCs w:val="18"/>
                <w:lang w:val="ro-MD" w:eastAsia="en-US"/>
              </w:rPr>
            </w:pPr>
            <w:r w:rsidRPr="002460E2">
              <w:rPr>
                <w:rFonts w:eastAsia="Calibri"/>
                <w:kern w:val="2"/>
                <w:sz w:val="18"/>
                <w:szCs w:val="18"/>
                <w:lang w:val="ro-MD" w:eastAsia="en-US"/>
              </w:rPr>
              <w:t>73</w:t>
            </w:r>
            <w:r w:rsidR="00F94EE1" w:rsidRPr="002460E2">
              <w:rPr>
                <w:rFonts w:eastAsia="Calibri"/>
                <w:kern w:val="2"/>
                <w:sz w:val="18"/>
                <w:szCs w:val="18"/>
                <w:lang w:val="ro-MD" w:eastAsia="en-US"/>
              </w:rPr>
              <w:t xml:space="preserve">. Pentru riscul de inflație denominat în altă monedă decât cele menționate la punctul </w:t>
            </w:r>
            <w:r w:rsidRPr="002460E2">
              <w:rPr>
                <w:rFonts w:eastAsia="Calibri"/>
                <w:kern w:val="2"/>
                <w:sz w:val="18"/>
                <w:szCs w:val="18"/>
                <w:lang w:val="ro-MD" w:eastAsia="en-US"/>
              </w:rPr>
              <w:t>44</w:t>
            </w:r>
            <w:r w:rsidR="00F94EE1" w:rsidRPr="002460E2">
              <w:rPr>
                <w:rFonts w:eastAsia="Calibri"/>
                <w:kern w:val="2"/>
                <w:sz w:val="18"/>
                <w:szCs w:val="18"/>
                <w:lang w:val="ro-MD" w:eastAsia="en-US"/>
              </w:rPr>
              <w:t>, ponderea de risc a sensibilității delta la riscul de rată a inflației este de 1,58  %.</w:t>
            </w:r>
          </w:p>
          <w:p w14:paraId="7C4444F3" w14:textId="77777777" w:rsidR="008D7F28" w:rsidRPr="002460E2" w:rsidRDefault="008D7F28" w:rsidP="008D7F28">
            <w:pPr>
              <w:jc w:val="center"/>
              <w:rPr>
                <w:bCs/>
                <w:i/>
                <w:iCs/>
                <w:sz w:val="18"/>
                <w:szCs w:val="18"/>
                <w:lang w:val="ro-MD" w:eastAsia="en-US"/>
              </w:rPr>
            </w:pPr>
          </w:p>
        </w:tc>
        <w:tc>
          <w:tcPr>
            <w:tcW w:w="1229" w:type="dxa"/>
          </w:tcPr>
          <w:p w14:paraId="62161796" w14:textId="25CEB1EB" w:rsidR="008D7F28" w:rsidRPr="002460E2" w:rsidRDefault="00233328" w:rsidP="008D7F28">
            <w:pPr>
              <w:jc w:val="both"/>
              <w:rPr>
                <w:sz w:val="18"/>
                <w:szCs w:val="18"/>
                <w:lang w:val="ro-MD"/>
              </w:rPr>
            </w:pPr>
            <w:r>
              <w:rPr>
                <w:sz w:val="18"/>
                <w:szCs w:val="18"/>
                <w:lang w:val="ro-MD"/>
              </w:rPr>
              <w:t>c</w:t>
            </w:r>
            <w:r w:rsidR="004918A3" w:rsidRPr="002460E2">
              <w:rPr>
                <w:sz w:val="18"/>
                <w:szCs w:val="18"/>
                <w:lang w:val="ro-MD"/>
              </w:rPr>
              <w:t>ompatibil</w:t>
            </w:r>
          </w:p>
        </w:tc>
        <w:tc>
          <w:tcPr>
            <w:tcW w:w="5292" w:type="dxa"/>
            <w:tcBorders>
              <w:top w:val="single" w:sz="4" w:space="0" w:color="auto"/>
              <w:bottom w:val="single" w:sz="4" w:space="0" w:color="auto"/>
            </w:tcBorders>
          </w:tcPr>
          <w:p w14:paraId="0493B255" w14:textId="77777777" w:rsidR="008D7F28" w:rsidRPr="002460E2" w:rsidRDefault="008D7F28" w:rsidP="008D7F28">
            <w:pPr>
              <w:jc w:val="both"/>
              <w:rPr>
                <w:sz w:val="18"/>
                <w:szCs w:val="18"/>
                <w:lang w:val="ro-MD"/>
              </w:rPr>
            </w:pPr>
          </w:p>
        </w:tc>
      </w:tr>
      <w:tr w:rsidR="008D7F28" w:rsidRPr="002460E2" w14:paraId="263972EE" w14:textId="77777777" w:rsidTr="003F5B3C">
        <w:trPr>
          <w:trHeight w:val="918"/>
        </w:trPr>
        <w:tc>
          <w:tcPr>
            <w:tcW w:w="4253" w:type="dxa"/>
          </w:tcPr>
          <w:p w14:paraId="2B69C5B5" w14:textId="2451E223" w:rsidR="008D7F28" w:rsidRPr="002460E2" w:rsidRDefault="008D7F28" w:rsidP="008D7F28">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(5) Ponderile de risc care trebuie aplicate sensibilităților la factorii de risc de rată a dobânzii vega și la factorii de risc de rată a inflației vega pentru toate monedele sunt de 100 %.</w:t>
            </w:r>
          </w:p>
        </w:tc>
        <w:tc>
          <w:tcPr>
            <w:tcW w:w="3685" w:type="dxa"/>
            <w:shd w:val="clear" w:color="auto" w:fill="auto"/>
          </w:tcPr>
          <w:p w14:paraId="13D273D1" w14:textId="25FCFA63" w:rsidR="008D7F28" w:rsidRPr="002460E2" w:rsidRDefault="00B12EE5" w:rsidP="00F94EE1">
            <w:pPr>
              <w:rPr>
                <w:bCs/>
                <w:i/>
                <w:iCs/>
                <w:sz w:val="18"/>
                <w:szCs w:val="18"/>
                <w:lang w:val="ro-MD" w:eastAsia="en-US"/>
              </w:rPr>
            </w:pPr>
            <w:r w:rsidRPr="002460E2">
              <w:rPr>
                <w:rFonts w:eastAsia="Calibri"/>
                <w:kern w:val="2"/>
                <w:sz w:val="18"/>
                <w:szCs w:val="18"/>
                <w:lang w:val="ro-MD" w:eastAsia="en-US"/>
              </w:rPr>
              <w:t>74</w:t>
            </w:r>
            <w:r w:rsidR="00F94EE1" w:rsidRPr="002460E2">
              <w:rPr>
                <w:rFonts w:eastAsia="Calibri"/>
                <w:kern w:val="2"/>
                <w:sz w:val="18"/>
                <w:szCs w:val="18"/>
                <w:lang w:val="ro-MD" w:eastAsia="en-US"/>
              </w:rPr>
              <w:t>. Ponderile de risc care trebuie aplicate sensibilităților la factorii de risc de rată a dobânzii vega și la factorii de risc de rată a inflației vega pentru toate monedele sunt de 100 %.</w:t>
            </w:r>
          </w:p>
        </w:tc>
        <w:tc>
          <w:tcPr>
            <w:tcW w:w="1229" w:type="dxa"/>
          </w:tcPr>
          <w:p w14:paraId="0BB1E236" w14:textId="72D68881" w:rsidR="008D7F28" w:rsidRPr="002460E2" w:rsidRDefault="00233328" w:rsidP="008D7F28">
            <w:pPr>
              <w:jc w:val="both"/>
              <w:rPr>
                <w:sz w:val="18"/>
                <w:szCs w:val="18"/>
                <w:lang w:val="ro-MD"/>
              </w:rPr>
            </w:pPr>
            <w:r>
              <w:rPr>
                <w:sz w:val="18"/>
                <w:szCs w:val="18"/>
                <w:lang w:val="ro-MD"/>
              </w:rPr>
              <w:t>c</w:t>
            </w:r>
            <w:r w:rsidR="004918A3" w:rsidRPr="002460E2">
              <w:rPr>
                <w:sz w:val="18"/>
                <w:szCs w:val="18"/>
                <w:lang w:val="ro-MD"/>
              </w:rPr>
              <w:t>ompatibil</w:t>
            </w:r>
          </w:p>
        </w:tc>
        <w:tc>
          <w:tcPr>
            <w:tcW w:w="5292" w:type="dxa"/>
            <w:tcBorders>
              <w:top w:val="single" w:sz="4" w:space="0" w:color="auto"/>
              <w:bottom w:val="single" w:sz="4" w:space="0" w:color="auto"/>
            </w:tcBorders>
          </w:tcPr>
          <w:p w14:paraId="423FD775" w14:textId="77777777" w:rsidR="008D7F28" w:rsidRPr="002460E2" w:rsidRDefault="008D7F28" w:rsidP="008D7F28">
            <w:pPr>
              <w:jc w:val="both"/>
              <w:rPr>
                <w:sz w:val="18"/>
                <w:szCs w:val="18"/>
                <w:lang w:val="ro-MD"/>
              </w:rPr>
            </w:pPr>
          </w:p>
        </w:tc>
      </w:tr>
      <w:tr w:rsidR="008E282D" w:rsidRPr="002460E2" w14:paraId="66E70BC2" w14:textId="77777777" w:rsidTr="003F5B3C">
        <w:trPr>
          <w:trHeight w:val="918"/>
        </w:trPr>
        <w:tc>
          <w:tcPr>
            <w:tcW w:w="4253" w:type="dxa"/>
          </w:tcPr>
          <w:p w14:paraId="541E65AE" w14:textId="77777777" w:rsidR="008E282D" w:rsidRPr="002460E2" w:rsidRDefault="008E282D" w:rsidP="008E282D">
            <w:pPr>
              <w:rPr>
                <w:i/>
                <w:iCs/>
                <w:sz w:val="18"/>
                <w:szCs w:val="18"/>
                <w:lang w:val="en-US"/>
              </w:rPr>
            </w:pPr>
            <w:r w:rsidRPr="002460E2">
              <w:rPr>
                <w:i/>
                <w:iCs/>
                <w:sz w:val="18"/>
                <w:szCs w:val="18"/>
                <w:lang w:val="en-US"/>
              </w:rPr>
              <w:t>Articolul 383l</w:t>
            </w:r>
          </w:p>
          <w:p w14:paraId="2D2FADF0" w14:textId="77777777" w:rsidR="008E282D" w:rsidRPr="002460E2" w:rsidRDefault="008E282D" w:rsidP="008E282D">
            <w:pPr>
              <w:rPr>
                <w:b/>
                <w:bCs/>
                <w:sz w:val="18"/>
                <w:szCs w:val="18"/>
                <w:lang w:val="en-US"/>
              </w:rPr>
            </w:pPr>
            <w:r w:rsidRPr="002460E2">
              <w:rPr>
                <w:b/>
                <w:bCs/>
                <w:sz w:val="18"/>
                <w:szCs w:val="18"/>
                <w:lang w:val="en-US"/>
              </w:rPr>
              <w:t>Corelațiile din cadrul unei benzi pentru riscul de rată a dobânzii</w:t>
            </w:r>
          </w:p>
          <w:p w14:paraId="76E9EEE6" w14:textId="3127A064" w:rsidR="008E282D" w:rsidRPr="002460E2" w:rsidRDefault="008E282D" w:rsidP="008E282D">
            <w:pPr>
              <w:rPr>
                <w:sz w:val="18"/>
                <w:szCs w:val="18"/>
                <w:lang w:val="en-US"/>
              </w:rPr>
            </w:pPr>
            <w:r w:rsidRPr="002460E2">
              <w:rPr>
                <w:sz w:val="18"/>
                <w:szCs w:val="18"/>
                <w:lang w:val="en-US"/>
              </w:rPr>
              <w:t>(1) Pentru monedele menționate la articolul 383c alineatul (2), parametrii de corelație pe care instituțiile îi aplică agregării sensibilităților delta la rata fără risc între diferitele benzi prevăzute la articolul 383k, tabelul 1, sunt următorii:</w:t>
            </w:r>
          </w:p>
          <w:p w14:paraId="59083B34" w14:textId="77777777" w:rsidR="008E282D" w:rsidRPr="002460E2" w:rsidRDefault="008E282D" w:rsidP="008E282D">
            <w:pPr>
              <w:rPr>
                <w:b/>
                <w:bCs/>
                <w:sz w:val="18"/>
                <w:szCs w:val="18"/>
                <w:lang w:val="en-US"/>
              </w:rPr>
            </w:pPr>
            <w:r w:rsidRPr="002460E2">
              <w:rPr>
                <w:b/>
                <w:bCs/>
                <w:sz w:val="18"/>
                <w:szCs w:val="18"/>
                <w:lang w:val="en-US"/>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19"/>
              <w:gridCol w:w="597"/>
              <w:gridCol w:w="596"/>
              <w:gridCol w:w="596"/>
              <w:gridCol w:w="596"/>
              <w:gridCol w:w="596"/>
            </w:tblGrid>
            <w:tr w:rsidR="008E282D" w:rsidRPr="002460E2" w14:paraId="43F06FB3"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D42843" w14:textId="77777777" w:rsidR="008E282D" w:rsidRPr="002460E2" w:rsidRDefault="008E282D" w:rsidP="008E282D">
                  <w:pPr>
                    <w:rPr>
                      <w:sz w:val="18"/>
                      <w:szCs w:val="18"/>
                      <w:lang w:val="en-US"/>
                    </w:rPr>
                  </w:pPr>
                  <w:r w:rsidRPr="002460E2">
                    <w:rPr>
                      <w:sz w:val="18"/>
                      <w:szCs w:val="18"/>
                      <w:lang w:val="en-US"/>
                    </w:rPr>
                    <w:t>Bandă</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195B2D" w14:textId="77777777" w:rsidR="008E282D" w:rsidRPr="002460E2" w:rsidRDefault="008E282D" w:rsidP="008E282D">
                  <w:pPr>
                    <w:rPr>
                      <w:sz w:val="18"/>
                      <w:szCs w:val="18"/>
                      <w:lang w:val="en-US"/>
                    </w:rPr>
                  </w:pPr>
                  <w:r w:rsidRPr="002460E2">
                    <w:rPr>
                      <w:sz w:val="18"/>
                      <w:szCs w:val="18"/>
                      <w:lang w:val="en-US"/>
                    </w:rPr>
                    <w:t>1</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CB6FBE" w14:textId="77777777" w:rsidR="008E282D" w:rsidRPr="002460E2" w:rsidRDefault="008E282D" w:rsidP="008E282D">
                  <w:pPr>
                    <w:rPr>
                      <w:sz w:val="18"/>
                      <w:szCs w:val="18"/>
                      <w:lang w:val="en-US"/>
                    </w:rPr>
                  </w:pPr>
                  <w:r w:rsidRPr="002460E2">
                    <w:rPr>
                      <w:sz w:val="18"/>
                      <w:szCs w:val="18"/>
                      <w:lang w:val="en-US"/>
                    </w:rPr>
                    <w:t>2</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8A8DCF" w14:textId="77777777" w:rsidR="008E282D" w:rsidRPr="002460E2" w:rsidRDefault="008E282D" w:rsidP="008E282D">
                  <w:pPr>
                    <w:rPr>
                      <w:sz w:val="18"/>
                      <w:szCs w:val="18"/>
                      <w:lang w:val="en-US"/>
                    </w:rPr>
                  </w:pPr>
                  <w:r w:rsidRPr="002460E2">
                    <w:rPr>
                      <w:sz w:val="18"/>
                      <w:szCs w:val="18"/>
                      <w:lang w:val="en-US"/>
                    </w:rPr>
                    <w:t>3</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6F2A79" w14:textId="77777777" w:rsidR="008E282D" w:rsidRPr="002460E2" w:rsidRDefault="008E282D" w:rsidP="008E282D">
                  <w:pPr>
                    <w:rPr>
                      <w:sz w:val="18"/>
                      <w:szCs w:val="18"/>
                      <w:lang w:val="en-US"/>
                    </w:rPr>
                  </w:pPr>
                  <w:r w:rsidRPr="002460E2">
                    <w:rPr>
                      <w:sz w:val="18"/>
                      <w:szCs w:val="18"/>
                      <w:lang w:val="en-US"/>
                    </w:rPr>
                    <w:t>4</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BD2992" w14:textId="77777777" w:rsidR="008E282D" w:rsidRPr="002460E2" w:rsidRDefault="008E282D" w:rsidP="008E282D">
                  <w:pPr>
                    <w:rPr>
                      <w:sz w:val="18"/>
                      <w:szCs w:val="18"/>
                      <w:lang w:val="en-US"/>
                    </w:rPr>
                  </w:pPr>
                  <w:r w:rsidRPr="002460E2">
                    <w:rPr>
                      <w:sz w:val="18"/>
                      <w:szCs w:val="18"/>
                      <w:lang w:val="en-US"/>
                    </w:rPr>
                    <w:t>5</w:t>
                  </w:r>
                </w:p>
              </w:tc>
            </w:tr>
            <w:tr w:rsidR="008E282D" w:rsidRPr="002460E2" w14:paraId="2C66130C"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F9FF90" w14:textId="77777777" w:rsidR="008E282D" w:rsidRPr="002460E2" w:rsidRDefault="008E282D" w:rsidP="008E282D">
                  <w:pPr>
                    <w:rPr>
                      <w:sz w:val="18"/>
                      <w:szCs w:val="18"/>
                      <w:lang w:val="en-US"/>
                    </w:rPr>
                  </w:pPr>
                  <w:r w:rsidRPr="002460E2">
                    <w:rPr>
                      <w:sz w:val="18"/>
                      <w:szCs w:val="18"/>
                      <w:lang w:val="en-US"/>
                    </w:rPr>
                    <w:lastRenderedPageBreak/>
                    <w:t>1</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CE39D7" w14:textId="77777777" w:rsidR="008E282D" w:rsidRPr="002460E2" w:rsidRDefault="008E282D" w:rsidP="008E282D">
                  <w:pPr>
                    <w:rPr>
                      <w:sz w:val="18"/>
                      <w:szCs w:val="18"/>
                      <w:lang w:val="en-US"/>
                    </w:rPr>
                  </w:pPr>
                  <w:r w:rsidRPr="002460E2">
                    <w:rPr>
                      <w:sz w:val="18"/>
                      <w:szCs w:val="18"/>
                      <w:lang w:val="en-US"/>
                    </w:rPr>
                    <w:t>100 %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8DB0C4" w14:textId="77777777" w:rsidR="008E282D" w:rsidRPr="002460E2" w:rsidRDefault="008E282D" w:rsidP="008E282D">
                  <w:pPr>
                    <w:rPr>
                      <w:sz w:val="18"/>
                      <w:szCs w:val="18"/>
                      <w:lang w:val="en-US"/>
                    </w:rPr>
                  </w:pPr>
                  <w:r w:rsidRPr="002460E2">
                    <w:rPr>
                      <w:sz w:val="18"/>
                      <w:szCs w:val="18"/>
                      <w:lang w:val="en-US"/>
                    </w:rPr>
                    <w:t>91 %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C329DE" w14:textId="77777777" w:rsidR="008E282D" w:rsidRPr="002460E2" w:rsidRDefault="008E282D" w:rsidP="008E282D">
                  <w:pPr>
                    <w:rPr>
                      <w:sz w:val="18"/>
                      <w:szCs w:val="18"/>
                      <w:lang w:val="en-US"/>
                    </w:rPr>
                  </w:pPr>
                  <w:r w:rsidRPr="002460E2">
                    <w:rPr>
                      <w:sz w:val="18"/>
                      <w:szCs w:val="18"/>
                      <w:lang w:val="en-US"/>
                    </w:rPr>
                    <w:t>72 %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29FB3F" w14:textId="77777777" w:rsidR="008E282D" w:rsidRPr="002460E2" w:rsidRDefault="008E282D" w:rsidP="008E282D">
                  <w:pPr>
                    <w:rPr>
                      <w:sz w:val="18"/>
                      <w:szCs w:val="18"/>
                      <w:lang w:val="en-US"/>
                    </w:rPr>
                  </w:pPr>
                  <w:r w:rsidRPr="002460E2">
                    <w:rPr>
                      <w:sz w:val="18"/>
                      <w:szCs w:val="18"/>
                      <w:lang w:val="en-US"/>
                    </w:rPr>
                    <w:t>55 %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987250" w14:textId="77777777" w:rsidR="008E282D" w:rsidRPr="002460E2" w:rsidRDefault="008E282D" w:rsidP="008E282D">
                  <w:pPr>
                    <w:rPr>
                      <w:sz w:val="18"/>
                      <w:szCs w:val="18"/>
                      <w:lang w:val="en-US"/>
                    </w:rPr>
                  </w:pPr>
                  <w:r w:rsidRPr="002460E2">
                    <w:rPr>
                      <w:sz w:val="18"/>
                      <w:szCs w:val="18"/>
                      <w:lang w:val="en-US"/>
                    </w:rPr>
                    <w:t>31 %</w:t>
                  </w:r>
                </w:p>
              </w:tc>
            </w:tr>
            <w:tr w:rsidR="008E282D" w:rsidRPr="002460E2" w14:paraId="0D61646B"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F57EBC" w14:textId="77777777" w:rsidR="008E282D" w:rsidRPr="002460E2" w:rsidRDefault="008E282D" w:rsidP="008E282D">
                  <w:pPr>
                    <w:rPr>
                      <w:sz w:val="18"/>
                      <w:szCs w:val="18"/>
                      <w:lang w:val="en-US"/>
                    </w:rPr>
                  </w:pPr>
                  <w:r w:rsidRPr="002460E2">
                    <w:rPr>
                      <w:sz w:val="18"/>
                      <w:szCs w:val="18"/>
                      <w:lang w:val="en-US"/>
                    </w:rPr>
                    <w:t>2</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0BE828"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D63C06" w14:textId="77777777" w:rsidR="008E282D" w:rsidRPr="002460E2" w:rsidRDefault="008E282D" w:rsidP="008E282D">
                  <w:pPr>
                    <w:rPr>
                      <w:sz w:val="18"/>
                      <w:szCs w:val="18"/>
                      <w:lang w:val="en-US"/>
                    </w:rPr>
                  </w:pPr>
                  <w:r w:rsidRPr="002460E2">
                    <w:rPr>
                      <w:sz w:val="18"/>
                      <w:szCs w:val="18"/>
                      <w:lang w:val="en-US"/>
                    </w:rPr>
                    <w:t>100 %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C95E76" w14:textId="77777777" w:rsidR="008E282D" w:rsidRPr="002460E2" w:rsidRDefault="008E282D" w:rsidP="008E282D">
                  <w:pPr>
                    <w:rPr>
                      <w:sz w:val="18"/>
                      <w:szCs w:val="18"/>
                      <w:lang w:val="en-US"/>
                    </w:rPr>
                  </w:pPr>
                  <w:r w:rsidRPr="002460E2">
                    <w:rPr>
                      <w:sz w:val="18"/>
                      <w:szCs w:val="18"/>
                      <w:lang w:val="en-US"/>
                    </w:rPr>
                    <w:t>87 %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39BC1E" w14:textId="77777777" w:rsidR="008E282D" w:rsidRPr="002460E2" w:rsidRDefault="008E282D" w:rsidP="008E282D">
                  <w:pPr>
                    <w:rPr>
                      <w:sz w:val="18"/>
                      <w:szCs w:val="18"/>
                      <w:lang w:val="en-US"/>
                    </w:rPr>
                  </w:pPr>
                  <w:r w:rsidRPr="002460E2">
                    <w:rPr>
                      <w:sz w:val="18"/>
                      <w:szCs w:val="18"/>
                      <w:lang w:val="en-US"/>
                    </w:rPr>
                    <w:t>72 %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F2B047" w14:textId="77777777" w:rsidR="008E282D" w:rsidRPr="002460E2" w:rsidRDefault="008E282D" w:rsidP="008E282D">
                  <w:pPr>
                    <w:rPr>
                      <w:sz w:val="18"/>
                      <w:szCs w:val="18"/>
                      <w:lang w:val="en-US"/>
                    </w:rPr>
                  </w:pPr>
                  <w:r w:rsidRPr="002460E2">
                    <w:rPr>
                      <w:sz w:val="18"/>
                      <w:szCs w:val="18"/>
                      <w:lang w:val="en-US"/>
                    </w:rPr>
                    <w:t>45 %</w:t>
                  </w:r>
                </w:p>
              </w:tc>
            </w:tr>
            <w:tr w:rsidR="008E282D" w:rsidRPr="002460E2" w14:paraId="437CC2E4"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56216E" w14:textId="77777777" w:rsidR="008E282D" w:rsidRPr="002460E2" w:rsidRDefault="008E282D" w:rsidP="008E282D">
                  <w:pPr>
                    <w:rPr>
                      <w:sz w:val="18"/>
                      <w:szCs w:val="18"/>
                      <w:lang w:val="en-US"/>
                    </w:rPr>
                  </w:pPr>
                  <w:r w:rsidRPr="002460E2">
                    <w:rPr>
                      <w:sz w:val="18"/>
                      <w:szCs w:val="18"/>
                      <w:lang w:val="en-US"/>
                    </w:rPr>
                    <w:t>3</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4D5A85"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9666FA"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F9434F" w14:textId="77777777" w:rsidR="008E282D" w:rsidRPr="002460E2" w:rsidRDefault="008E282D" w:rsidP="008E282D">
                  <w:pPr>
                    <w:rPr>
                      <w:sz w:val="18"/>
                      <w:szCs w:val="18"/>
                      <w:lang w:val="en-US"/>
                    </w:rPr>
                  </w:pPr>
                  <w:r w:rsidRPr="002460E2">
                    <w:rPr>
                      <w:sz w:val="18"/>
                      <w:szCs w:val="18"/>
                      <w:lang w:val="en-US"/>
                    </w:rPr>
                    <w:t>100 %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981A46" w14:textId="77777777" w:rsidR="008E282D" w:rsidRPr="002460E2" w:rsidRDefault="008E282D" w:rsidP="008E282D">
                  <w:pPr>
                    <w:rPr>
                      <w:sz w:val="18"/>
                      <w:szCs w:val="18"/>
                      <w:lang w:val="en-US"/>
                    </w:rPr>
                  </w:pPr>
                  <w:r w:rsidRPr="002460E2">
                    <w:rPr>
                      <w:sz w:val="18"/>
                      <w:szCs w:val="18"/>
                      <w:lang w:val="en-US"/>
                    </w:rPr>
                    <w:t>91 %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34AA7A" w14:textId="77777777" w:rsidR="008E282D" w:rsidRPr="002460E2" w:rsidRDefault="008E282D" w:rsidP="008E282D">
                  <w:pPr>
                    <w:rPr>
                      <w:sz w:val="18"/>
                      <w:szCs w:val="18"/>
                      <w:lang w:val="en-US"/>
                    </w:rPr>
                  </w:pPr>
                  <w:r w:rsidRPr="002460E2">
                    <w:rPr>
                      <w:sz w:val="18"/>
                      <w:szCs w:val="18"/>
                      <w:lang w:val="en-US"/>
                    </w:rPr>
                    <w:t>68 %</w:t>
                  </w:r>
                </w:p>
              </w:tc>
            </w:tr>
            <w:tr w:rsidR="008E282D" w:rsidRPr="002460E2" w14:paraId="5230EBBF"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4D83FD" w14:textId="77777777" w:rsidR="008E282D" w:rsidRPr="002460E2" w:rsidRDefault="008E282D" w:rsidP="008E282D">
                  <w:pPr>
                    <w:rPr>
                      <w:sz w:val="18"/>
                      <w:szCs w:val="18"/>
                      <w:lang w:val="en-US"/>
                    </w:rPr>
                  </w:pPr>
                  <w:r w:rsidRPr="002460E2">
                    <w:rPr>
                      <w:sz w:val="18"/>
                      <w:szCs w:val="18"/>
                      <w:lang w:val="en-US"/>
                    </w:rPr>
                    <w:t>4</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CD4E9C"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4D9E5F"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C18B56"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0B4093" w14:textId="77777777" w:rsidR="008E282D" w:rsidRPr="002460E2" w:rsidRDefault="008E282D" w:rsidP="008E282D">
                  <w:pPr>
                    <w:rPr>
                      <w:sz w:val="18"/>
                      <w:szCs w:val="18"/>
                      <w:lang w:val="en-US"/>
                    </w:rPr>
                  </w:pPr>
                  <w:r w:rsidRPr="002460E2">
                    <w:rPr>
                      <w:sz w:val="18"/>
                      <w:szCs w:val="18"/>
                      <w:lang w:val="en-US"/>
                    </w:rPr>
                    <w:t>100 %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B93B9D" w14:textId="77777777" w:rsidR="008E282D" w:rsidRPr="002460E2" w:rsidRDefault="008E282D" w:rsidP="008E282D">
                  <w:pPr>
                    <w:rPr>
                      <w:sz w:val="18"/>
                      <w:szCs w:val="18"/>
                      <w:lang w:val="en-US"/>
                    </w:rPr>
                  </w:pPr>
                  <w:r w:rsidRPr="002460E2">
                    <w:rPr>
                      <w:sz w:val="18"/>
                      <w:szCs w:val="18"/>
                      <w:lang w:val="en-US"/>
                    </w:rPr>
                    <w:t>83 %</w:t>
                  </w:r>
                </w:p>
              </w:tc>
            </w:tr>
            <w:tr w:rsidR="008E282D" w:rsidRPr="002460E2" w14:paraId="05F64234" w14:textId="77777777" w:rsidTr="000E21FB">
              <w:trPr>
                <w:jc w:val="center"/>
              </w:trPr>
              <w:tc>
                <w:tcPr>
                  <w:tcW w:w="6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D0E603" w14:textId="77777777" w:rsidR="008E282D" w:rsidRPr="002460E2" w:rsidRDefault="008E282D" w:rsidP="008E282D">
                  <w:pPr>
                    <w:rPr>
                      <w:sz w:val="18"/>
                      <w:szCs w:val="18"/>
                      <w:lang w:val="en-US"/>
                    </w:rPr>
                  </w:pPr>
                  <w:r w:rsidRPr="002460E2">
                    <w:rPr>
                      <w:sz w:val="18"/>
                      <w:szCs w:val="18"/>
                      <w:lang w:val="en-US"/>
                    </w:rPr>
                    <w:t>5</w:t>
                  </w:r>
                </w:p>
              </w:tc>
              <w:tc>
                <w:tcPr>
                  <w:tcW w:w="59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14E2F3"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53404C"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D66A0A"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AEF7F2" w14:textId="77777777" w:rsidR="008E282D" w:rsidRPr="002460E2" w:rsidRDefault="008E282D" w:rsidP="008E282D">
                  <w:pPr>
                    <w:rPr>
                      <w:sz w:val="18"/>
                      <w:szCs w:val="18"/>
                      <w:lang w:val="en-US"/>
                    </w:rPr>
                  </w:pPr>
                  <w:r w:rsidRPr="002460E2">
                    <w:rPr>
                      <w:sz w:val="18"/>
                      <w:szCs w:val="18"/>
                      <w:lang w:val="en-US"/>
                    </w:rPr>
                    <w:t> </w:t>
                  </w:r>
                </w:p>
              </w:tc>
              <w:tc>
                <w:tcPr>
                  <w:tcW w:w="5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6AD18E" w14:textId="77777777" w:rsidR="008E282D" w:rsidRPr="002460E2" w:rsidRDefault="008E282D" w:rsidP="008E282D">
                  <w:pPr>
                    <w:rPr>
                      <w:sz w:val="18"/>
                      <w:szCs w:val="18"/>
                      <w:lang w:val="en-US"/>
                    </w:rPr>
                  </w:pPr>
                  <w:r w:rsidRPr="002460E2">
                    <w:rPr>
                      <w:sz w:val="18"/>
                      <w:szCs w:val="18"/>
                      <w:lang w:val="en-US"/>
                    </w:rPr>
                    <w:t>100 %</w:t>
                  </w:r>
                </w:p>
              </w:tc>
            </w:tr>
          </w:tbl>
          <w:p w14:paraId="69627CC2" w14:textId="77777777" w:rsidR="008E282D" w:rsidRPr="002460E2" w:rsidRDefault="008E282D" w:rsidP="008E282D">
            <w:pPr>
              <w:rPr>
                <w:rFonts w:eastAsia="Calibri"/>
                <w:kern w:val="2"/>
                <w:sz w:val="18"/>
                <w:szCs w:val="18"/>
                <w:lang w:val="ro-MD" w:eastAsia="en-US"/>
                <w14:ligatures w14:val="standardContextual"/>
              </w:rPr>
            </w:pPr>
          </w:p>
        </w:tc>
        <w:tc>
          <w:tcPr>
            <w:tcW w:w="3685" w:type="dxa"/>
            <w:shd w:val="clear" w:color="auto" w:fill="auto"/>
          </w:tcPr>
          <w:p w14:paraId="2CCC3114" w14:textId="77777777" w:rsidR="008E282D" w:rsidRPr="002460E2" w:rsidRDefault="008E282D" w:rsidP="008E282D">
            <w:pPr>
              <w:jc w:val="center"/>
              <w:rPr>
                <w:i/>
                <w:iCs/>
                <w:sz w:val="18"/>
                <w:szCs w:val="18"/>
                <w:lang w:val="ro-MD" w:eastAsia="en-US"/>
              </w:rPr>
            </w:pPr>
            <w:r w:rsidRPr="002460E2">
              <w:rPr>
                <w:i/>
                <w:iCs/>
                <w:sz w:val="18"/>
                <w:szCs w:val="18"/>
                <w:lang w:val="ro-MD" w:eastAsia="en-US"/>
              </w:rPr>
              <w:lastRenderedPageBreak/>
              <w:t>Secțiunea a 12-a</w:t>
            </w:r>
          </w:p>
          <w:p w14:paraId="308393D3" w14:textId="77777777" w:rsidR="008E282D" w:rsidRPr="002460E2" w:rsidRDefault="008E282D" w:rsidP="008E282D">
            <w:pPr>
              <w:jc w:val="center"/>
              <w:rPr>
                <w:b/>
                <w:bCs/>
                <w:sz w:val="18"/>
                <w:szCs w:val="18"/>
                <w:lang w:val="ro-MD" w:eastAsia="en-US"/>
              </w:rPr>
            </w:pPr>
            <w:r w:rsidRPr="002460E2">
              <w:rPr>
                <w:b/>
                <w:bCs/>
                <w:sz w:val="18"/>
                <w:szCs w:val="18"/>
                <w:lang w:val="ro-MD" w:eastAsia="en-US"/>
              </w:rPr>
              <w:t>Corelațiile din cadrul unei benzi pentru riscul de rată a dobânzii și corelațiile dintre benzi pentru riscul de rată a dobânzii</w:t>
            </w:r>
          </w:p>
          <w:p w14:paraId="42CACB09" w14:textId="156CEA26" w:rsidR="008E282D" w:rsidRPr="002460E2" w:rsidRDefault="00B12EE5" w:rsidP="008E282D">
            <w:pPr>
              <w:rPr>
                <w:sz w:val="18"/>
                <w:szCs w:val="18"/>
                <w:lang w:val="ro-MD" w:eastAsia="en-US"/>
              </w:rPr>
            </w:pPr>
            <w:r w:rsidRPr="002460E2">
              <w:rPr>
                <w:sz w:val="18"/>
                <w:szCs w:val="18"/>
                <w:lang w:val="ro-MD" w:eastAsia="en-US"/>
              </w:rPr>
              <w:t>75</w:t>
            </w:r>
            <w:r w:rsidR="008E282D" w:rsidRPr="002460E2">
              <w:rPr>
                <w:sz w:val="18"/>
                <w:szCs w:val="18"/>
                <w:lang w:val="ro-MD" w:eastAsia="en-US"/>
              </w:rPr>
              <w:t xml:space="preserve">. Pentru monedele menționate la punctul </w:t>
            </w:r>
            <w:r w:rsidRPr="002460E2">
              <w:rPr>
                <w:sz w:val="18"/>
                <w:szCs w:val="18"/>
                <w:lang w:val="ro-MD" w:eastAsia="en-US"/>
              </w:rPr>
              <w:t>44</w:t>
            </w:r>
            <w:r w:rsidR="008E282D" w:rsidRPr="002460E2">
              <w:rPr>
                <w:sz w:val="18"/>
                <w:szCs w:val="18"/>
                <w:lang w:val="ro-MD" w:eastAsia="en-US"/>
              </w:rPr>
              <w:t xml:space="preserve">, parametrii de corelație pe care băncile îi aplică agregării sensibilităților delta la rata fără risc între diferitele benzi prevăzute la punctele </w:t>
            </w:r>
            <w:r w:rsidRPr="002460E2">
              <w:rPr>
                <w:sz w:val="18"/>
                <w:szCs w:val="18"/>
                <w:lang w:val="ro-MD" w:eastAsia="en-US"/>
              </w:rPr>
              <w:t>70</w:t>
            </w:r>
            <w:r w:rsidR="008E282D" w:rsidRPr="002460E2">
              <w:rPr>
                <w:sz w:val="18"/>
                <w:szCs w:val="18"/>
                <w:lang w:val="ro-MD" w:eastAsia="en-US"/>
              </w:rPr>
              <w:t>-</w:t>
            </w:r>
            <w:r w:rsidRPr="002460E2">
              <w:rPr>
                <w:sz w:val="18"/>
                <w:szCs w:val="18"/>
                <w:lang w:val="ro-MD" w:eastAsia="en-US"/>
              </w:rPr>
              <w:t>74</w:t>
            </w:r>
            <w:r w:rsidR="008E282D" w:rsidRPr="002460E2">
              <w:rPr>
                <w:sz w:val="18"/>
                <w:szCs w:val="18"/>
                <w:lang w:val="ro-MD" w:eastAsia="en-US"/>
              </w:rPr>
              <w:t>, tabelul 1, sunt următorii:</w:t>
            </w:r>
          </w:p>
          <w:p w14:paraId="78DBF9C0" w14:textId="77777777" w:rsidR="008E282D" w:rsidRPr="002460E2" w:rsidRDefault="008E282D" w:rsidP="008E282D">
            <w:pPr>
              <w:rPr>
                <w:i/>
                <w:iCs/>
                <w:sz w:val="18"/>
                <w:szCs w:val="18"/>
                <w:lang w:val="ro-MD" w:eastAsia="en-US"/>
              </w:rPr>
            </w:pPr>
            <w:r w:rsidRPr="002460E2">
              <w:rPr>
                <w:i/>
                <w:iCs/>
                <w:sz w:val="18"/>
                <w:szCs w:val="18"/>
                <w:lang w:val="ro-MD" w:eastAsia="en-US"/>
              </w:rPr>
              <w:t>Tabelul 1</w:t>
            </w: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95"/>
              <w:gridCol w:w="601"/>
              <w:gridCol w:w="601"/>
              <w:gridCol w:w="601"/>
              <w:gridCol w:w="601"/>
              <w:gridCol w:w="601"/>
            </w:tblGrid>
            <w:tr w:rsidR="008E282D" w:rsidRPr="002460E2" w14:paraId="15F093DD"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0920A7" w14:textId="77777777" w:rsidR="008E282D" w:rsidRPr="002460E2" w:rsidRDefault="008E282D" w:rsidP="008E282D">
                  <w:pPr>
                    <w:rPr>
                      <w:sz w:val="18"/>
                      <w:szCs w:val="18"/>
                      <w:lang w:val="ro-MD" w:eastAsia="en-US"/>
                    </w:rPr>
                  </w:pPr>
                  <w:r w:rsidRPr="002460E2">
                    <w:rPr>
                      <w:sz w:val="18"/>
                      <w:szCs w:val="18"/>
                      <w:lang w:val="ro-MD" w:eastAsia="en-US"/>
                    </w:rPr>
                    <w:lastRenderedPageBreak/>
                    <w:t>Bandă</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3681B5" w14:textId="77777777" w:rsidR="008E282D" w:rsidRPr="002460E2" w:rsidRDefault="008E282D" w:rsidP="008E282D">
                  <w:pPr>
                    <w:rPr>
                      <w:sz w:val="18"/>
                      <w:szCs w:val="18"/>
                      <w:lang w:val="ro-MD" w:eastAsia="en-US"/>
                    </w:rPr>
                  </w:pPr>
                  <w:r w:rsidRPr="002460E2">
                    <w:rPr>
                      <w:sz w:val="18"/>
                      <w:szCs w:val="18"/>
                      <w:lang w:val="ro-MD" w:eastAsia="en-US"/>
                    </w:rPr>
                    <w:t>1</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1ACAD5" w14:textId="77777777" w:rsidR="008E282D" w:rsidRPr="002460E2" w:rsidRDefault="008E282D" w:rsidP="008E282D">
                  <w:pPr>
                    <w:rPr>
                      <w:sz w:val="18"/>
                      <w:szCs w:val="18"/>
                      <w:lang w:val="ro-MD" w:eastAsia="en-US"/>
                    </w:rPr>
                  </w:pPr>
                  <w:r w:rsidRPr="002460E2">
                    <w:rPr>
                      <w:sz w:val="18"/>
                      <w:szCs w:val="18"/>
                      <w:lang w:val="ro-MD" w:eastAsia="en-US"/>
                    </w:rPr>
                    <w:t>2</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E40B31" w14:textId="77777777" w:rsidR="008E282D" w:rsidRPr="002460E2" w:rsidRDefault="008E282D" w:rsidP="008E282D">
                  <w:pPr>
                    <w:rPr>
                      <w:sz w:val="18"/>
                      <w:szCs w:val="18"/>
                      <w:lang w:val="ro-MD" w:eastAsia="en-US"/>
                    </w:rPr>
                  </w:pPr>
                  <w:r w:rsidRPr="002460E2">
                    <w:rPr>
                      <w:sz w:val="18"/>
                      <w:szCs w:val="18"/>
                      <w:lang w:val="ro-MD" w:eastAsia="en-US"/>
                    </w:rPr>
                    <w:t>3</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8E5162" w14:textId="77777777" w:rsidR="008E282D" w:rsidRPr="002460E2" w:rsidRDefault="008E282D" w:rsidP="008E282D">
                  <w:pPr>
                    <w:rPr>
                      <w:sz w:val="18"/>
                      <w:szCs w:val="18"/>
                      <w:lang w:val="ro-MD" w:eastAsia="en-US"/>
                    </w:rPr>
                  </w:pPr>
                  <w:r w:rsidRPr="002460E2">
                    <w:rPr>
                      <w:sz w:val="18"/>
                      <w:szCs w:val="18"/>
                      <w:lang w:val="ro-MD" w:eastAsia="en-US"/>
                    </w:rPr>
                    <w:t>4</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D4FCBC" w14:textId="77777777" w:rsidR="008E282D" w:rsidRPr="002460E2" w:rsidRDefault="008E282D" w:rsidP="008E282D">
                  <w:pPr>
                    <w:rPr>
                      <w:sz w:val="18"/>
                      <w:szCs w:val="18"/>
                      <w:lang w:val="ro-MD" w:eastAsia="en-US"/>
                    </w:rPr>
                  </w:pPr>
                  <w:r w:rsidRPr="002460E2">
                    <w:rPr>
                      <w:sz w:val="18"/>
                      <w:szCs w:val="18"/>
                      <w:lang w:val="ro-MD" w:eastAsia="en-US"/>
                    </w:rPr>
                    <w:t>5</w:t>
                  </w:r>
                </w:p>
              </w:tc>
            </w:tr>
            <w:tr w:rsidR="008E282D" w:rsidRPr="002460E2" w14:paraId="4EAD8082"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653769" w14:textId="77777777" w:rsidR="008E282D" w:rsidRPr="002460E2" w:rsidRDefault="008E282D" w:rsidP="008E282D">
                  <w:pPr>
                    <w:rPr>
                      <w:sz w:val="18"/>
                      <w:szCs w:val="18"/>
                      <w:lang w:val="ro-MD" w:eastAsia="en-US"/>
                    </w:rPr>
                  </w:pPr>
                  <w:r w:rsidRPr="002460E2">
                    <w:rPr>
                      <w:sz w:val="18"/>
                      <w:szCs w:val="18"/>
                      <w:lang w:val="ro-MD" w:eastAsia="en-US"/>
                    </w:rPr>
                    <w:t>1</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0BA4D7" w14:textId="77777777" w:rsidR="008E282D" w:rsidRPr="002460E2" w:rsidRDefault="008E282D" w:rsidP="008E282D">
                  <w:pPr>
                    <w:rPr>
                      <w:sz w:val="18"/>
                      <w:szCs w:val="18"/>
                      <w:lang w:val="ro-MD" w:eastAsia="en-US"/>
                    </w:rPr>
                  </w:pPr>
                  <w:r w:rsidRPr="002460E2">
                    <w:rPr>
                      <w:sz w:val="18"/>
                      <w:szCs w:val="18"/>
                      <w:lang w:val="ro-MD" w:eastAsia="en-US"/>
                    </w:rPr>
                    <w:t>100 %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BFA2F3" w14:textId="77777777" w:rsidR="008E282D" w:rsidRPr="002460E2" w:rsidRDefault="008E282D" w:rsidP="008E282D">
                  <w:pPr>
                    <w:rPr>
                      <w:sz w:val="18"/>
                      <w:szCs w:val="18"/>
                      <w:lang w:val="ro-MD" w:eastAsia="en-US"/>
                    </w:rPr>
                  </w:pPr>
                  <w:r w:rsidRPr="002460E2">
                    <w:rPr>
                      <w:sz w:val="18"/>
                      <w:szCs w:val="18"/>
                      <w:lang w:val="ro-MD" w:eastAsia="en-US"/>
                    </w:rPr>
                    <w:t>91 %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DB0BC3" w14:textId="77777777" w:rsidR="008E282D" w:rsidRPr="002460E2" w:rsidRDefault="008E282D" w:rsidP="008E282D">
                  <w:pPr>
                    <w:rPr>
                      <w:sz w:val="18"/>
                      <w:szCs w:val="18"/>
                      <w:lang w:val="ro-MD" w:eastAsia="en-US"/>
                    </w:rPr>
                  </w:pPr>
                  <w:r w:rsidRPr="002460E2">
                    <w:rPr>
                      <w:sz w:val="18"/>
                      <w:szCs w:val="18"/>
                      <w:lang w:val="ro-MD" w:eastAsia="en-US"/>
                    </w:rPr>
                    <w:t>72 %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5EF642" w14:textId="77777777" w:rsidR="008E282D" w:rsidRPr="002460E2" w:rsidRDefault="008E282D" w:rsidP="008E282D">
                  <w:pPr>
                    <w:rPr>
                      <w:sz w:val="18"/>
                      <w:szCs w:val="18"/>
                      <w:lang w:val="ro-MD" w:eastAsia="en-US"/>
                    </w:rPr>
                  </w:pPr>
                  <w:r w:rsidRPr="002460E2">
                    <w:rPr>
                      <w:sz w:val="18"/>
                      <w:szCs w:val="18"/>
                      <w:lang w:val="ro-MD" w:eastAsia="en-US"/>
                    </w:rPr>
                    <w:t>55 %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1A0138" w14:textId="77777777" w:rsidR="008E282D" w:rsidRPr="002460E2" w:rsidRDefault="008E282D" w:rsidP="008E282D">
                  <w:pPr>
                    <w:rPr>
                      <w:sz w:val="18"/>
                      <w:szCs w:val="18"/>
                      <w:lang w:val="ro-MD" w:eastAsia="en-US"/>
                    </w:rPr>
                  </w:pPr>
                  <w:r w:rsidRPr="002460E2">
                    <w:rPr>
                      <w:sz w:val="18"/>
                      <w:szCs w:val="18"/>
                      <w:lang w:val="ro-MD" w:eastAsia="en-US"/>
                    </w:rPr>
                    <w:t>31 %</w:t>
                  </w:r>
                </w:p>
              </w:tc>
            </w:tr>
            <w:tr w:rsidR="008E282D" w:rsidRPr="002460E2" w14:paraId="2465C802"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27D9C9" w14:textId="77777777" w:rsidR="008E282D" w:rsidRPr="002460E2" w:rsidRDefault="008E282D" w:rsidP="008E282D">
                  <w:pPr>
                    <w:rPr>
                      <w:sz w:val="18"/>
                      <w:szCs w:val="18"/>
                      <w:lang w:val="ro-MD" w:eastAsia="en-US"/>
                    </w:rPr>
                  </w:pPr>
                  <w:r w:rsidRPr="002460E2">
                    <w:rPr>
                      <w:sz w:val="18"/>
                      <w:szCs w:val="18"/>
                      <w:lang w:val="ro-MD" w:eastAsia="en-US"/>
                    </w:rPr>
                    <w:t>2</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DAD6B4"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6B7369" w14:textId="77777777" w:rsidR="008E282D" w:rsidRPr="002460E2" w:rsidRDefault="008E282D" w:rsidP="008E282D">
                  <w:pPr>
                    <w:rPr>
                      <w:sz w:val="18"/>
                      <w:szCs w:val="18"/>
                      <w:lang w:val="ro-MD" w:eastAsia="en-US"/>
                    </w:rPr>
                  </w:pPr>
                  <w:r w:rsidRPr="002460E2">
                    <w:rPr>
                      <w:sz w:val="18"/>
                      <w:szCs w:val="18"/>
                      <w:lang w:val="ro-MD" w:eastAsia="en-US"/>
                    </w:rPr>
                    <w:t>100 %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374993" w14:textId="77777777" w:rsidR="008E282D" w:rsidRPr="002460E2" w:rsidRDefault="008E282D" w:rsidP="008E282D">
                  <w:pPr>
                    <w:rPr>
                      <w:sz w:val="18"/>
                      <w:szCs w:val="18"/>
                      <w:lang w:val="ro-MD" w:eastAsia="en-US"/>
                    </w:rPr>
                  </w:pPr>
                  <w:r w:rsidRPr="002460E2">
                    <w:rPr>
                      <w:sz w:val="18"/>
                      <w:szCs w:val="18"/>
                      <w:lang w:val="ro-MD" w:eastAsia="en-US"/>
                    </w:rPr>
                    <w:t>87 %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0E82B6" w14:textId="77777777" w:rsidR="008E282D" w:rsidRPr="002460E2" w:rsidRDefault="008E282D" w:rsidP="008E282D">
                  <w:pPr>
                    <w:rPr>
                      <w:sz w:val="18"/>
                      <w:szCs w:val="18"/>
                      <w:lang w:val="ro-MD" w:eastAsia="en-US"/>
                    </w:rPr>
                  </w:pPr>
                  <w:r w:rsidRPr="002460E2">
                    <w:rPr>
                      <w:sz w:val="18"/>
                      <w:szCs w:val="18"/>
                      <w:lang w:val="ro-MD" w:eastAsia="en-US"/>
                    </w:rPr>
                    <w:t>72 %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B9790D" w14:textId="77777777" w:rsidR="008E282D" w:rsidRPr="002460E2" w:rsidRDefault="008E282D" w:rsidP="008E282D">
                  <w:pPr>
                    <w:rPr>
                      <w:sz w:val="18"/>
                      <w:szCs w:val="18"/>
                      <w:lang w:val="ro-MD" w:eastAsia="en-US"/>
                    </w:rPr>
                  </w:pPr>
                  <w:r w:rsidRPr="002460E2">
                    <w:rPr>
                      <w:sz w:val="18"/>
                      <w:szCs w:val="18"/>
                      <w:lang w:val="ro-MD" w:eastAsia="en-US"/>
                    </w:rPr>
                    <w:t>45 %</w:t>
                  </w:r>
                </w:p>
              </w:tc>
            </w:tr>
            <w:tr w:rsidR="008E282D" w:rsidRPr="002460E2" w14:paraId="2F7920A1"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B6B7DC" w14:textId="77777777" w:rsidR="008E282D" w:rsidRPr="002460E2" w:rsidRDefault="008E282D" w:rsidP="008E282D">
                  <w:pPr>
                    <w:rPr>
                      <w:sz w:val="18"/>
                      <w:szCs w:val="18"/>
                      <w:lang w:val="ro-MD" w:eastAsia="en-US"/>
                    </w:rPr>
                  </w:pPr>
                  <w:r w:rsidRPr="002460E2">
                    <w:rPr>
                      <w:sz w:val="18"/>
                      <w:szCs w:val="18"/>
                      <w:lang w:val="ro-MD" w:eastAsia="en-US"/>
                    </w:rPr>
                    <w:t>3</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B86988"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B574EC"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537EDC" w14:textId="77777777" w:rsidR="008E282D" w:rsidRPr="002460E2" w:rsidRDefault="008E282D" w:rsidP="008E282D">
                  <w:pPr>
                    <w:rPr>
                      <w:sz w:val="18"/>
                      <w:szCs w:val="18"/>
                      <w:lang w:val="ro-MD" w:eastAsia="en-US"/>
                    </w:rPr>
                  </w:pPr>
                  <w:r w:rsidRPr="002460E2">
                    <w:rPr>
                      <w:sz w:val="18"/>
                      <w:szCs w:val="18"/>
                      <w:lang w:val="ro-MD" w:eastAsia="en-US"/>
                    </w:rPr>
                    <w:t>100 %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36CB50" w14:textId="77777777" w:rsidR="008E282D" w:rsidRPr="002460E2" w:rsidRDefault="008E282D" w:rsidP="008E282D">
                  <w:pPr>
                    <w:rPr>
                      <w:sz w:val="18"/>
                      <w:szCs w:val="18"/>
                      <w:lang w:val="ro-MD" w:eastAsia="en-US"/>
                    </w:rPr>
                  </w:pPr>
                  <w:r w:rsidRPr="002460E2">
                    <w:rPr>
                      <w:sz w:val="18"/>
                      <w:szCs w:val="18"/>
                      <w:lang w:val="ro-MD" w:eastAsia="en-US"/>
                    </w:rPr>
                    <w:t>91 %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228C9D" w14:textId="77777777" w:rsidR="008E282D" w:rsidRPr="002460E2" w:rsidRDefault="008E282D" w:rsidP="008E282D">
                  <w:pPr>
                    <w:rPr>
                      <w:sz w:val="18"/>
                      <w:szCs w:val="18"/>
                      <w:lang w:val="ro-MD" w:eastAsia="en-US"/>
                    </w:rPr>
                  </w:pPr>
                  <w:r w:rsidRPr="002460E2">
                    <w:rPr>
                      <w:sz w:val="18"/>
                      <w:szCs w:val="18"/>
                      <w:lang w:val="ro-MD" w:eastAsia="en-US"/>
                    </w:rPr>
                    <w:t>68 %</w:t>
                  </w:r>
                </w:p>
              </w:tc>
            </w:tr>
            <w:tr w:rsidR="008E282D" w:rsidRPr="002460E2" w14:paraId="6E9883B7"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E57FCD" w14:textId="77777777" w:rsidR="008E282D" w:rsidRPr="002460E2" w:rsidRDefault="008E282D" w:rsidP="008E282D">
                  <w:pPr>
                    <w:rPr>
                      <w:sz w:val="18"/>
                      <w:szCs w:val="18"/>
                      <w:lang w:val="ro-MD" w:eastAsia="en-US"/>
                    </w:rPr>
                  </w:pPr>
                  <w:r w:rsidRPr="002460E2">
                    <w:rPr>
                      <w:sz w:val="18"/>
                      <w:szCs w:val="18"/>
                      <w:lang w:val="ro-MD" w:eastAsia="en-US"/>
                    </w:rPr>
                    <w:t>4</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64C7F9"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584F88"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EFF775"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F548A6" w14:textId="77777777" w:rsidR="008E282D" w:rsidRPr="002460E2" w:rsidRDefault="008E282D" w:rsidP="008E282D">
                  <w:pPr>
                    <w:rPr>
                      <w:sz w:val="18"/>
                      <w:szCs w:val="18"/>
                      <w:lang w:val="ro-MD" w:eastAsia="en-US"/>
                    </w:rPr>
                  </w:pPr>
                  <w:r w:rsidRPr="002460E2">
                    <w:rPr>
                      <w:sz w:val="18"/>
                      <w:szCs w:val="18"/>
                      <w:lang w:val="ro-MD" w:eastAsia="en-US"/>
                    </w:rPr>
                    <w:t>100 %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F0FFF7" w14:textId="77777777" w:rsidR="008E282D" w:rsidRPr="002460E2" w:rsidRDefault="008E282D" w:rsidP="008E282D">
                  <w:pPr>
                    <w:rPr>
                      <w:sz w:val="18"/>
                      <w:szCs w:val="18"/>
                      <w:lang w:val="ro-MD" w:eastAsia="en-US"/>
                    </w:rPr>
                  </w:pPr>
                  <w:r w:rsidRPr="002460E2">
                    <w:rPr>
                      <w:sz w:val="18"/>
                      <w:szCs w:val="18"/>
                      <w:lang w:val="ro-MD" w:eastAsia="en-US"/>
                    </w:rPr>
                    <w:t>83 %</w:t>
                  </w:r>
                </w:p>
              </w:tc>
            </w:tr>
            <w:tr w:rsidR="008E282D" w:rsidRPr="002460E2" w14:paraId="5ADFD14E" w14:textId="77777777" w:rsidTr="005B28FB">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01ED47" w14:textId="77777777" w:rsidR="008E282D" w:rsidRPr="002460E2" w:rsidRDefault="008E282D" w:rsidP="008E282D">
                  <w:pPr>
                    <w:rPr>
                      <w:sz w:val="18"/>
                      <w:szCs w:val="18"/>
                      <w:lang w:val="ro-MD" w:eastAsia="en-US"/>
                    </w:rPr>
                  </w:pPr>
                  <w:r w:rsidRPr="002460E2">
                    <w:rPr>
                      <w:sz w:val="18"/>
                      <w:szCs w:val="18"/>
                      <w:lang w:val="ro-MD" w:eastAsia="en-US"/>
                    </w:rPr>
                    <w:t>5</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F8A8EB"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4F70A"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363942"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3F9849" w14:textId="77777777" w:rsidR="008E282D" w:rsidRPr="002460E2" w:rsidRDefault="008E282D" w:rsidP="008E282D">
                  <w:pPr>
                    <w:rPr>
                      <w:sz w:val="18"/>
                      <w:szCs w:val="18"/>
                      <w:lang w:val="ro-MD" w:eastAsia="en-US"/>
                    </w:rPr>
                  </w:pPr>
                  <w:r w:rsidRPr="002460E2">
                    <w:rPr>
                      <w:sz w:val="18"/>
                      <w:szCs w:val="18"/>
                      <w:lang w:val="ro-MD" w:eastAsia="en-US"/>
                    </w:rPr>
                    <w:t> </w:t>
                  </w:r>
                </w:p>
              </w:tc>
              <w:tc>
                <w:tcPr>
                  <w:tcW w:w="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C1CCEF" w14:textId="77777777" w:rsidR="008E282D" w:rsidRPr="002460E2" w:rsidRDefault="008E282D" w:rsidP="008E282D">
                  <w:pPr>
                    <w:rPr>
                      <w:sz w:val="18"/>
                      <w:szCs w:val="18"/>
                      <w:lang w:val="ro-MD" w:eastAsia="en-US"/>
                    </w:rPr>
                  </w:pPr>
                  <w:r w:rsidRPr="002460E2">
                    <w:rPr>
                      <w:sz w:val="18"/>
                      <w:szCs w:val="18"/>
                      <w:lang w:val="ro-MD" w:eastAsia="en-US"/>
                    </w:rPr>
                    <w:t>100 %</w:t>
                  </w:r>
                </w:p>
              </w:tc>
            </w:tr>
          </w:tbl>
          <w:p w14:paraId="576D7E11" w14:textId="77777777" w:rsidR="008E282D" w:rsidRPr="002460E2" w:rsidRDefault="008E282D" w:rsidP="008E282D">
            <w:pPr>
              <w:rPr>
                <w:sz w:val="18"/>
                <w:szCs w:val="18"/>
                <w:lang w:val="ro-MD" w:eastAsia="en-US"/>
              </w:rPr>
            </w:pPr>
          </w:p>
          <w:p w14:paraId="025912C5" w14:textId="77777777" w:rsidR="008E282D" w:rsidRPr="002460E2" w:rsidRDefault="008E282D" w:rsidP="008E282D">
            <w:pPr>
              <w:jc w:val="center"/>
              <w:rPr>
                <w:bCs/>
                <w:i/>
                <w:iCs/>
                <w:sz w:val="18"/>
                <w:szCs w:val="18"/>
                <w:lang w:val="ro-MD" w:eastAsia="en-US"/>
              </w:rPr>
            </w:pPr>
          </w:p>
        </w:tc>
        <w:tc>
          <w:tcPr>
            <w:tcW w:w="1229" w:type="dxa"/>
          </w:tcPr>
          <w:p w14:paraId="2E31BF72" w14:textId="46E62B44" w:rsidR="008E282D" w:rsidRPr="002460E2" w:rsidRDefault="00233328" w:rsidP="008E282D">
            <w:pPr>
              <w:jc w:val="both"/>
              <w:rPr>
                <w:sz w:val="18"/>
                <w:szCs w:val="18"/>
                <w:lang w:val="ro-MD"/>
              </w:rPr>
            </w:pPr>
            <w:r>
              <w:rPr>
                <w:sz w:val="18"/>
                <w:szCs w:val="18"/>
                <w:lang w:val="ro-MD"/>
              </w:rPr>
              <w:lastRenderedPageBreak/>
              <w:t>c</w:t>
            </w:r>
            <w:r w:rsidR="008E282D" w:rsidRPr="002460E2">
              <w:rPr>
                <w:sz w:val="18"/>
                <w:szCs w:val="18"/>
                <w:lang w:val="ro-MD"/>
              </w:rPr>
              <w:t>ompatibil</w:t>
            </w:r>
          </w:p>
        </w:tc>
        <w:tc>
          <w:tcPr>
            <w:tcW w:w="5292" w:type="dxa"/>
            <w:tcBorders>
              <w:top w:val="single" w:sz="4" w:space="0" w:color="auto"/>
              <w:bottom w:val="single" w:sz="4" w:space="0" w:color="auto"/>
            </w:tcBorders>
          </w:tcPr>
          <w:p w14:paraId="458A54E1" w14:textId="77777777" w:rsidR="008E282D" w:rsidRPr="002460E2" w:rsidRDefault="008E282D" w:rsidP="008E282D">
            <w:pPr>
              <w:jc w:val="both"/>
              <w:rPr>
                <w:sz w:val="18"/>
                <w:szCs w:val="18"/>
                <w:lang w:val="ro-MD"/>
              </w:rPr>
            </w:pPr>
          </w:p>
        </w:tc>
      </w:tr>
      <w:tr w:rsidR="008E282D" w:rsidRPr="002460E2" w14:paraId="1D315992" w14:textId="77777777" w:rsidTr="003F5B3C">
        <w:trPr>
          <w:trHeight w:val="918"/>
        </w:trPr>
        <w:tc>
          <w:tcPr>
            <w:tcW w:w="4253" w:type="dxa"/>
          </w:tcPr>
          <w:p w14:paraId="6A91502C" w14:textId="727E399C" w:rsidR="008E282D" w:rsidRPr="002460E2" w:rsidRDefault="008E282D" w:rsidP="008E282D">
            <w:pPr>
              <w:rPr>
                <w:sz w:val="18"/>
                <w:szCs w:val="18"/>
                <w:lang w:val="en-US"/>
              </w:rPr>
            </w:pPr>
            <w:r w:rsidRPr="002460E2">
              <w:rPr>
                <w:sz w:val="18"/>
                <w:szCs w:val="18"/>
                <w:lang w:val="en-US"/>
              </w:rPr>
              <w:t>(2) Instituțiile aplică un parametru de corelație de 40 % pentru agregarea sensibilității delta la riscul de rată a inflației și a sensibilității delta la rata fără risc denominate în aceeași monedă.</w:t>
            </w:r>
          </w:p>
        </w:tc>
        <w:tc>
          <w:tcPr>
            <w:tcW w:w="3685" w:type="dxa"/>
            <w:shd w:val="clear" w:color="auto" w:fill="auto"/>
          </w:tcPr>
          <w:p w14:paraId="70C111A6" w14:textId="7ED8D201" w:rsidR="008E282D" w:rsidRPr="002460E2" w:rsidRDefault="008E282D" w:rsidP="008E282D">
            <w:pPr>
              <w:rPr>
                <w:sz w:val="18"/>
                <w:szCs w:val="18"/>
                <w:lang w:val="ro-MD" w:eastAsia="en-US"/>
              </w:rPr>
            </w:pPr>
            <w:r w:rsidRPr="002460E2">
              <w:rPr>
                <w:sz w:val="18"/>
                <w:szCs w:val="18"/>
                <w:lang w:val="ro-MD" w:eastAsia="en-US"/>
              </w:rPr>
              <w:t>7</w:t>
            </w:r>
            <w:r w:rsidR="00B12EE5" w:rsidRPr="002460E2">
              <w:rPr>
                <w:sz w:val="18"/>
                <w:szCs w:val="18"/>
                <w:lang w:val="ro-MD" w:eastAsia="en-US"/>
              </w:rPr>
              <w:t>6</w:t>
            </w:r>
            <w:r w:rsidRPr="002460E2">
              <w:rPr>
                <w:sz w:val="18"/>
                <w:szCs w:val="18"/>
                <w:lang w:val="ro-MD" w:eastAsia="en-US"/>
              </w:rPr>
              <w:t>. Băncile aplică un parametru de corelație de 40 % pentru agregarea sensibilității delta la riscul de rată a inflației și a sensibilității delta la rata fără risc denominate în aceeași monedă.</w:t>
            </w:r>
          </w:p>
          <w:p w14:paraId="63BD9E38" w14:textId="77777777" w:rsidR="008E282D" w:rsidRPr="002460E2" w:rsidRDefault="008E282D" w:rsidP="008E282D">
            <w:pPr>
              <w:rPr>
                <w:bCs/>
                <w:i/>
                <w:iCs/>
                <w:sz w:val="18"/>
                <w:szCs w:val="18"/>
                <w:lang w:val="ro-MD" w:eastAsia="en-US"/>
              </w:rPr>
            </w:pPr>
          </w:p>
        </w:tc>
        <w:tc>
          <w:tcPr>
            <w:tcW w:w="1229" w:type="dxa"/>
          </w:tcPr>
          <w:p w14:paraId="7C6BBC4E" w14:textId="0ADAB207" w:rsidR="008E282D" w:rsidRPr="002460E2" w:rsidRDefault="00233328" w:rsidP="008E282D">
            <w:pPr>
              <w:jc w:val="both"/>
              <w:rPr>
                <w:sz w:val="18"/>
                <w:szCs w:val="18"/>
                <w:lang w:val="ro-MD"/>
              </w:rPr>
            </w:pPr>
            <w:r>
              <w:rPr>
                <w:sz w:val="18"/>
                <w:szCs w:val="18"/>
                <w:lang w:val="ro-MD"/>
              </w:rPr>
              <w:t>c</w:t>
            </w:r>
            <w:r w:rsidR="008E282D" w:rsidRPr="002460E2">
              <w:rPr>
                <w:sz w:val="18"/>
                <w:szCs w:val="18"/>
                <w:lang w:val="ro-MD"/>
              </w:rPr>
              <w:t>ompatibil</w:t>
            </w:r>
          </w:p>
        </w:tc>
        <w:tc>
          <w:tcPr>
            <w:tcW w:w="5292" w:type="dxa"/>
            <w:tcBorders>
              <w:top w:val="single" w:sz="4" w:space="0" w:color="auto"/>
              <w:bottom w:val="single" w:sz="4" w:space="0" w:color="auto"/>
            </w:tcBorders>
          </w:tcPr>
          <w:p w14:paraId="4C24071A" w14:textId="77777777" w:rsidR="008E282D" w:rsidRPr="002460E2" w:rsidRDefault="008E282D" w:rsidP="008E282D">
            <w:pPr>
              <w:jc w:val="both"/>
              <w:rPr>
                <w:sz w:val="18"/>
                <w:szCs w:val="18"/>
                <w:lang w:val="ro-MD"/>
              </w:rPr>
            </w:pPr>
          </w:p>
        </w:tc>
      </w:tr>
      <w:tr w:rsidR="008D7F28" w:rsidRPr="002460E2" w14:paraId="57525CCD" w14:textId="77777777" w:rsidTr="003F5B3C">
        <w:trPr>
          <w:trHeight w:val="918"/>
        </w:trPr>
        <w:tc>
          <w:tcPr>
            <w:tcW w:w="4253" w:type="dxa"/>
          </w:tcPr>
          <w:p w14:paraId="1040857A" w14:textId="2F70F511" w:rsidR="008D7F28" w:rsidRPr="002460E2" w:rsidRDefault="008D7F28" w:rsidP="008D7F28">
            <w:pPr>
              <w:rPr>
                <w:sz w:val="18"/>
                <w:szCs w:val="18"/>
                <w:lang w:val="en-US"/>
              </w:rPr>
            </w:pPr>
            <w:r w:rsidRPr="002460E2">
              <w:rPr>
                <w:sz w:val="18"/>
                <w:szCs w:val="18"/>
                <w:lang w:val="en-US"/>
              </w:rPr>
              <w:t>(3) Instituțiile aplică un parametru de corelație de 40 % pentru agregarea sensibilității la factorul de risc vega de rată a inflației și a sensibilității la factorul de risc vega de rată a dobânzii denominate în aceeași monedă.</w:t>
            </w:r>
          </w:p>
          <w:p w14:paraId="46803130" w14:textId="77777777" w:rsidR="008D7F28" w:rsidRPr="002460E2" w:rsidRDefault="008D7F28" w:rsidP="008D7F28">
            <w:pPr>
              <w:rPr>
                <w:i/>
                <w:iCs/>
                <w:sz w:val="18"/>
                <w:szCs w:val="18"/>
                <w:lang w:val="en-US"/>
              </w:rPr>
            </w:pPr>
          </w:p>
        </w:tc>
        <w:tc>
          <w:tcPr>
            <w:tcW w:w="3685" w:type="dxa"/>
            <w:shd w:val="clear" w:color="auto" w:fill="auto"/>
          </w:tcPr>
          <w:p w14:paraId="33161B2F" w14:textId="3A10F0CD" w:rsidR="008E282D" w:rsidRPr="002460E2" w:rsidRDefault="008E282D" w:rsidP="008E282D">
            <w:pPr>
              <w:rPr>
                <w:sz w:val="18"/>
                <w:szCs w:val="18"/>
                <w:lang w:val="ro-MD" w:eastAsia="en-US"/>
              </w:rPr>
            </w:pPr>
            <w:r w:rsidRPr="002460E2">
              <w:rPr>
                <w:sz w:val="18"/>
                <w:szCs w:val="18"/>
                <w:lang w:val="ro-MD" w:eastAsia="en-US"/>
              </w:rPr>
              <w:t>7</w:t>
            </w:r>
            <w:r w:rsidR="00B12EE5" w:rsidRPr="002460E2">
              <w:rPr>
                <w:sz w:val="18"/>
                <w:szCs w:val="18"/>
                <w:lang w:val="ro-MD" w:eastAsia="en-US"/>
              </w:rPr>
              <w:t>7</w:t>
            </w:r>
            <w:r w:rsidRPr="002460E2">
              <w:rPr>
                <w:sz w:val="18"/>
                <w:szCs w:val="18"/>
                <w:lang w:val="ro-MD" w:eastAsia="en-US"/>
              </w:rPr>
              <w:t>. Băncile aplică un parametru de corelație de 40 % pentru agregarea sensibilității la factorul de risc vega de rată a inflației și a sensibilității la factorul de risc vega de rată a dobânzii denominate în aceeași monedă.</w:t>
            </w:r>
          </w:p>
          <w:p w14:paraId="3EEBC672" w14:textId="77777777" w:rsidR="008D7F28" w:rsidRPr="002460E2" w:rsidRDefault="008D7F28" w:rsidP="004918A3">
            <w:pPr>
              <w:rPr>
                <w:bCs/>
                <w:i/>
                <w:iCs/>
                <w:sz w:val="18"/>
                <w:szCs w:val="18"/>
                <w:lang w:val="ro-MD" w:eastAsia="en-US"/>
              </w:rPr>
            </w:pPr>
          </w:p>
        </w:tc>
        <w:tc>
          <w:tcPr>
            <w:tcW w:w="1229" w:type="dxa"/>
          </w:tcPr>
          <w:p w14:paraId="7628CC3E" w14:textId="40D78892" w:rsidR="008D7F28" w:rsidRPr="002460E2" w:rsidRDefault="00233328" w:rsidP="008D7F28">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163055A5" w14:textId="77777777" w:rsidR="008D7F28" w:rsidRPr="002460E2" w:rsidRDefault="008D7F28" w:rsidP="008D7F28">
            <w:pPr>
              <w:jc w:val="both"/>
              <w:rPr>
                <w:sz w:val="18"/>
                <w:szCs w:val="18"/>
                <w:lang w:val="ro-MD"/>
              </w:rPr>
            </w:pPr>
          </w:p>
        </w:tc>
      </w:tr>
      <w:tr w:rsidR="008E282D" w:rsidRPr="002460E2" w14:paraId="494B8CF6" w14:textId="77777777" w:rsidTr="003F5B3C">
        <w:trPr>
          <w:trHeight w:val="918"/>
        </w:trPr>
        <w:tc>
          <w:tcPr>
            <w:tcW w:w="4253" w:type="dxa"/>
          </w:tcPr>
          <w:p w14:paraId="37C816D5" w14:textId="77777777" w:rsidR="008E282D" w:rsidRPr="002460E2" w:rsidRDefault="008E282D" w:rsidP="008E282D">
            <w:pPr>
              <w:rPr>
                <w:i/>
                <w:iCs/>
                <w:sz w:val="18"/>
                <w:szCs w:val="18"/>
                <w:lang w:val="en-US"/>
              </w:rPr>
            </w:pPr>
            <w:r w:rsidRPr="002460E2">
              <w:rPr>
                <w:i/>
                <w:iCs/>
                <w:sz w:val="18"/>
                <w:szCs w:val="18"/>
                <w:lang w:val="en-US"/>
              </w:rPr>
              <w:t>Articolul 383m</w:t>
            </w:r>
          </w:p>
          <w:p w14:paraId="1220B06A" w14:textId="77777777" w:rsidR="008E282D" w:rsidRPr="002460E2" w:rsidRDefault="008E282D" w:rsidP="008E282D">
            <w:pPr>
              <w:rPr>
                <w:b/>
                <w:bCs/>
                <w:sz w:val="18"/>
                <w:szCs w:val="18"/>
                <w:lang w:val="en-US"/>
              </w:rPr>
            </w:pPr>
            <w:r w:rsidRPr="002460E2">
              <w:rPr>
                <w:b/>
                <w:bCs/>
                <w:sz w:val="18"/>
                <w:szCs w:val="18"/>
                <w:lang w:val="en-US"/>
              </w:rPr>
              <w:t>Corelațiile dintre benzi pentru riscul de rată a dobânzii</w:t>
            </w:r>
          </w:p>
          <w:p w14:paraId="38BE345E" w14:textId="3886B2F1" w:rsidR="008E282D" w:rsidRPr="002460E2" w:rsidRDefault="008E282D" w:rsidP="008E282D">
            <w:pPr>
              <w:rPr>
                <w:sz w:val="18"/>
                <w:szCs w:val="18"/>
                <w:lang w:val="en-US"/>
              </w:rPr>
            </w:pPr>
            <w:r w:rsidRPr="002460E2">
              <w:rPr>
                <w:sz w:val="18"/>
                <w:szCs w:val="18"/>
                <w:lang w:val="en-US"/>
              </w:rPr>
              <w:t>Parametrul de corelație dintre benzi pentru riscurile de rată a dobânzii delta și vega se stabilește la 0,5  % pentru toate perechile de monede.</w:t>
            </w:r>
          </w:p>
        </w:tc>
        <w:tc>
          <w:tcPr>
            <w:tcW w:w="3685" w:type="dxa"/>
            <w:shd w:val="clear" w:color="auto" w:fill="auto"/>
          </w:tcPr>
          <w:p w14:paraId="0F238764" w14:textId="1B545A62" w:rsidR="008E282D" w:rsidRPr="002460E2" w:rsidRDefault="008E282D" w:rsidP="008E282D">
            <w:pPr>
              <w:rPr>
                <w:b/>
                <w:bCs/>
                <w:sz w:val="18"/>
                <w:szCs w:val="18"/>
                <w:lang w:val="ro-MD" w:eastAsia="en-US"/>
              </w:rPr>
            </w:pPr>
            <w:r w:rsidRPr="002460E2">
              <w:rPr>
                <w:sz w:val="18"/>
                <w:szCs w:val="18"/>
                <w:lang w:val="ro-MD" w:eastAsia="en-US"/>
              </w:rPr>
              <w:t>7</w:t>
            </w:r>
            <w:r w:rsidR="00B12EE5" w:rsidRPr="002460E2">
              <w:rPr>
                <w:sz w:val="18"/>
                <w:szCs w:val="18"/>
                <w:lang w:val="ro-MD" w:eastAsia="en-US"/>
              </w:rPr>
              <w:t>8</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Parametrul de corelație dintre benzi pentru riscul de rată a dobânzii delta și vega se stabilește la 0,5% pentru toate perechile de monedă.</w:t>
            </w:r>
          </w:p>
          <w:p w14:paraId="73EBD615" w14:textId="77777777" w:rsidR="008E282D" w:rsidRPr="002460E2" w:rsidRDefault="008E282D" w:rsidP="008E282D">
            <w:pPr>
              <w:jc w:val="center"/>
              <w:rPr>
                <w:bCs/>
                <w:i/>
                <w:iCs/>
                <w:sz w:val="18"/>
                <w:szCs w:val="18"/>
                <w:lang w:val="ro-MD" w:eastAsia="en-US"/>
              </w:rPr>
            </w:pPr>
          </w:p>
        </w:tc>
        <w:tc>
          <w:tcPr>
            <w:tcW w:w="1229" w:type="dxa"/>
          </w:tcPr>
          <w:p w14:paraId="3980DEF6" w14:textId="1C273BA7" w:rsidR="008E282D" w:rsidRPr="002460E2" w:rsidRDefault="00233328" w:rsidP="008E282D">
            <w:pPr>
              <w:jc w:val="both"/>
              <w:rPr>
                <w:sz w:val="18"/>
                <w:szCs w:val="18"/>
                <w:lang w:val="ro-MD"/>
              </w:rPr>
            </w:pPr>
            <w:r>
              <w:rPr>
                <w:sz w:val="18"/>
                <w:szCs w:val="18"/>
                <w:lang w:val="ro-MD"/>
              </w:rPr>
              <w:t>c</w:t>
            </w:r>
            <w:r w:rsidR="008E282D" w:rsidRPr="002460E2">
              <w:rPr>
                <w:sz w:val="18"/>
                <w:szCs w:val="18"/>
                <w:lang w:val="ro-MD"/>
              </w:rPr>
              <w:t>ompatibil</w:t>
            </w:r>
          </w:p>
        </w:tc>
        <w:tc>
          <w:tcPr>
            <w:tcW w:w="5292" w:type="dxa"/>
            <w:tcBorders>
              <w:top w:val="single" w:sz="4" w:space="0" w:color="auto"/>
              <w:bottom w:val="single" w:sz="4" w:space="0" w:color="auto"/>
            </w:tcBorders>
          </w:tcPr>
          <w:p w14:paraId="1FF65C9C" w14:textId="77777777" w:rsidR="008E282D" w:rsidRPr="002460E2" w:rsidRDefault="008E282D" w:rsidP="008E282D">
            <w:pPr>
              <w:jc w:val="both"/>
              <w:rPr>
                <w:sz w:val="18"/>
                <w:szCs w:val="18"/>
                <w:lang w:val="ro-MD"/>
              </w:rPr>
            </w:pPr>
          </w:p>
        </w:tc>
      </w:tr>
      <w:tr w:rsidR="008E282D" w:rsidRPr="002460E2" w14:paraId="72D0D735" w14:textId="77777777" w:rsidTr="003F5B3C">
        <w:trPr>
          <w:trHeight w:val="918"/>
        </w:trPr>
        <w:tc>
          <w:tcPr>
            <w:tcW w:w="4253" w:type="dxa"/>
          </w:tcPr>
          <w:p w14:paraId="0F0FCB4F" w14:textId="77777777" w:rsidR="008E282D" w:rsidRPr="002460E2" w:rsidRDefault="008E282D" w:rsidP="008E282D">
            <w:pPr>
              <w:rPr>
                <w:i/>
                <w:iCs/>
                <w:sz w:val="18"/>
                <w:szCs w:val="18"/>
                <w:lang w:val="en-US"/>
              </w:rPr>
            </w:pPr>
            <w:r w:rsidRPr="002460E2">
              <w:rPr>
                <w:i/>
                <w:iCs/>
                <w:sz w:val="18"/>
                <w:szCs w:val="18"/>
                <w:lang w:val="en-US"/>
              </w:rPr>
              <w:t>Articolul 383n</w:t>
            </w:r>
          </w:p>
          <w:p w14:paraId="6BF751DD" w14:textId="77777777" w:rsidR="008E282D" w:rsidRPr="002460E2" w:rsidRDefault="008E282D" w:rsidP="008E282D">
            <w:pPr>
              <w:rPr>
                <w:b/>
                <w:bCs/>
                <w:sz w:val="18"/>
                <w:szCs w:val="18"/>
                <w:lang w:val="en-US"/>
              </w:rPr>
            </w:pPr>
            <w:r w:rsidRPr="002460E2">
              <w:rPr>
                <w:b/>
                <w:bCs/>
                <w:sz w:val="18"/>
                <w:szCs w:val="18"/>
                <w:lang w:val="en-US"/>
              </w:rPr>
              <w:t>Ponderile de risc pentru riscul valutar</w:t>
            </w:r>
          </w:p>
          <w:p w14:paraId="193B7D6F" w14:textId="0BF73B89" w:rsidR="008E282D" w:rsidRPr="002460E2" w:rsidRDefault="008E282D" w:rsidP="008E282D">
            <w:pPr>
              <w:rPr>
                <w:sz w:val="18"/>
                <w:szCs w:val="18"/>
                <w:lang w:val="en-US"/>
              </w:rPr>
            </w:pPr>
            <w:r w:rsidRPr="002460E2">
              <w:rPr>
                <w:sz w:val="18"/>
                <w:szCs w:val="18"/>
                <w:lang w:val="en-US"/>
              </w:rPr>
              <w:t>(1) Ponderile de risc pentru toate sensibilitățile delta la factorul de risc valutar între moneda de raportare a unei instituții și o altă monedă sunt de 11 %.</w:t>
            </w:r>
          </w:p>
        </w:tc>
        <w:tc>
          <w:tcPr>
            <w:tcW w:w="3685" w:type="dxa"/>
            <w:shd w:val="clear" w:color="auto" w:fill="auto"/>
          </w:tcPr>
          <w:p w14:paraId="65B93966" w14:textId="77777777" w:rsidR="008E282D" w:rsidRPr="002460E2" w:rsidRDefault="008E282D" w:rsidP="008E282D">
            <w:pPr>
              <w:jc w:val="center"/>
              <w:rPr>
                <w:i/>
                <w:iCs/>
                <w:sz w:val="18"/>
                <w:szCs w:val="18"/>
                <w:lang w:val="ro-MD" w:eastAsia="en-US"/>
              </w:rPr>
            </w:pPr>
            <w:r w:rsidRPr="002460E2">
              <w:rPr>
                <w:i/>
                <w:iCs/>
                <w:sz w:val="18"/>
                <w:szCs w:val="18"/>
                <w:lang w:val="ro-MD" w:eastAsia="en-US"/>
              </w:rPr>
              <w:t>Secțiunea a 13-a</w:t>
            </w:r>
          </w:p>
          <w:p w14:paraId="0DDBE0F7" w14:textId="77777777" w:rsidR="008E282D" w:rsidRPr="002460E2" w:rsidRDefault="008E282D" w:rsidP="008E282D">
            <w:pPr>
              <w:jc w:val="center"/>
              <w:rPr>
                <w:b/>
                <w:bCs/>
                <w:sz w:val="18"/>
                <w:szCs w:val="18"/>
                <w:lang w:val="ro-MD" w:eastAsia="en-US"/>
              </w:rPr>
            </w:pPr>
            <w:r w:rsidRPr="002460E2">
              <w:rPr>
                <w:b/>
                <w:bCs/>
                <w:sz w:val="18"/>
                <w:szCs w:val="18"/>
                <w:lang w:val="ro-MD" w:eastAsia="en-US"/>
              </w:rPr>
              <w:t>Ponderile de risc pentru riscul valutar</w:t>
            </w:r>
          </w:p>
          <w:p w14:paraId="47520E37" w14:textId="66C04DAB" w:rsidR="008E282D" w:rsidRPr="002460E2" w:rsidRDefault="008E282D" w:rsidP="008E282D">
            <w:pPr>
              <w:rPr>
                <w:sz w:val="18"/>
                <w:szCs w:val="18"/>
                <w:lang w:val="ro-MD" w:eastAsia="en-US"/>
              </w:rPr>
            </w:pPr>
            <w:r w:rsidRPr="002460E2">
              <w:rPr>
                <w:sz w:val="18"/>
                <w:szCs w:val="18"/>
                <w:lang w:val="ro-MD" w:eastAsia="en-US"/>
              </w:rPr>
              <w:t>7</w:t>
            </w:r>
            <w:r w:rsidR="00B12EE5" w:rsidRPr="002460E2">
              <w:rPr>
                <w:sz w:val="18"/>
                <w:szCs w:val="18"/>
                <w:lang w:val="ro-MD" w:eastAsia="en-US"/>
              </w:rPr>
              <w:t>9</w:t>
            </w:r>
            <w:r w:rsidRPr="002460E2">
              <w:rPr>
                <w:sz w:val="18"/>
                <w:szCs w:val="18"/>
                <w:lang w:val="ro-MD" w:eastAsia="en-US"/>
              </w:rPr>
              <w:t>. Ponderile de risc pentru toate sensibilitățile delta la factorul de risc valutar între moneda de raportare a unei bănci și o altă monedă sunt de 11 %.</w:t>
            </w:r>
          </w:p>
          <w:p w14:paraId="1A47DA00" w14:textId="6F5D7EA5" w:rsidR="008E282D" w:rsidRPr="002460E2" w:rsidRDefault="008E282D" w:rsidP="00FD2518">
            <w:pPr>
              <w:rPr>
                <w:sz w:val="18"/>
                <w:szCs w:val="18"/>
                <w:lang w:val="ro-MD" w:eastAsia="en-US"/>
              </w:rPr>
            </w:pPr>
          </w:p>
        </w:tc>
        <w:tc>
          <w:tcPr>
            <w:tcW w:w="1229" w:type="dxa"/>
          </w:tcPr>
          <w:p w14:paraId="51830133" w14:textId="29D02A52" w:rsidR="008E282D" w:rsidRPr="002460E2" w:rsidRDefault="00233328" w:rsidP="008E282D">
            <w:pPr>
              <w:jc w:val="both"/>
              <w:rPr>
                <w:sz w:val="18"/>
                <w:szCs w:val="18"/>
                <w:lang w:val="ro-MD"/>
              </w:rPr>
            </w:pPr>
            <w:r>
              <w:rPr>
                <w:sz w:val="18"/>
                <w:szCs w:val="18"/>
                <w:lang w:val="ro-MD"/>
              </w:rPr>
              <w:t>c</w:t>
            </w:r>
            <w:r w:rsidR="008E282D" w:rsidRPr="002460E2">
              <w:rPr>
                <w:sz w:val="18"/>
                <w:szCs w:val="18"/>
                <w:lang w:val="ro-MD"/>
              </w:rPr>
              <w:t>ompatibil</w:t>
            </w:r>
          </w:p>
        </w:tc>
        <w:tc>
          <w:tcPr>
            <w:tcW w:w="5292" w:type="dxa"/>
            <w:tcBorders>
              <w:top w:val="single" w:sz="4" w:space="0" w:color="auto"/>
              <w:bottom w:val="single" w:sz="4" w:space="0" w:color="auto"/>
            </w:tcBorders>
          </w:tcPr>
          <w:p w14:paraId="29D1DB25" w14:textId="77777777" w:rsidR="008E282D" w:rsidRPr="002460E2" w:rsidRDefault="008E282D" w:rsidP="008E282D">
            <w:pPr>
              <w:jc w:val="both"/>
              <w:rPr>
                <w:sz w:val="18"/>
                <w:szCs w:val="18"/>
                <w:lang w:val="ro-MD"/>
              </w:rPr>
            </w:pPr>
          </w:p>
        </w:tc>
      </w:tr>
      <w:tr w:rsidR="00E3002F" w:rsidRPr="002460E2" w14:paraId="606AA551" w14:textId="77777777" w:rsidTr="003F5B3C">
        <w:trPr>
          <w:trHeight w:val="918"/>
        </w:trPr>
        <w:tc>
          <w:tcPr>
            <w:tcW w:w="4253" w:type="dxa"/>
          </w:tcPr>
          <w:p w14:paraId="3C29F293" w14:textId="77777777" w:rsidR="00E3002F" w:rsidRPr="002460E2" w:rsidRDefault="00E3002F" w:rsidP="00E3002F">
            <w:pPr>
              <w:rPr>
                <w:sz w:val="18"/>
                <w:szCs w:val="18"/>
                <w:lang w:val="en-US"/>
              </w:rPr>
            </w:pPr>
            <w:r w:rsidRPr="002460E2">
              <w:rPr>
                <w:sz w:val="18"/>
                <w:szCs w:val="18"/>
                <w:lang w:val="en-US"/>
              </w:rPr>
              <w:t>(2) Ponderea de risc aferentă factorilor de risc valutar în ceea ce privește perechile de monede formate din euro și moneda unui stat membru care participă la MCS II este una dintre următoarele:</w:t>
            </w:r>
          </w:p>
          <w:p w14:paraId="304BC0FA" w14:textId="77777777" w:rsidR="00E3002F" w:rsidRPr="002460E2" w:rsidRDefault="00E3002F" w:rsidP="00E3002F">
            <w:pPr>
              <w:rPr>
                <w:sz w:val="18"/>
                <w:szCs w:val="18"/>
                <w:lang w:val="en-US"/>
              </w:rPr>
            </w:pPr>
            <w:r w:rsidRPr="002460E2">
              <w:rPr>
                <w:sz w:val="18"/>
                <w:szCs w:val="18"/>
                <w:lang w:val="en-US"/>
              </w:rPr>
              <w:lastRenderedPageBreak/>
              <w:t>(a) ponderea de risc menționată la alineatul (1) împărțită la 3;</w:t>
            </w:r>
          </w:p>
          <w:p w14:paraId="350F4B6D" w14:textId="26B3B809" w:rsidR="00E3002F" w:rsidRPr="002460E2" w:rsidRDefault="00E3002F" w:rsidP="00E3002F">
            <w:pPr>
              <w:rPr>
                <w:sz w:val="18"/>
                <w:szCs w:val="18"/>
                <w:lang w:val="en-US"/>
              </w:rPr>
            </w:pPr>
            <w:r w:rsidRPr="002460E2">
              <w:rPr>
                <w:sz w:val="18"/>
                <w:szCs w:val="18"/>
                <w:lang w:val="en-US"/>
              </w:rPr>
              <w:t>(b) fluctuația maximă în cadrul intervalului de fluctuație convenit oficial de statul membru și de BCE, dacă intervalul de fluctuație respectiv este mai îngust decât intervalul de fluctuație definit în cadrul MCS II.</w:t>
            </w:r>
          </w:p>
        </w:tc>
        <w:tc>
          <w:tcPr>
            <w:tcW w:w="3685" w:type="dxa"/>
            <w:shd w:val="clear" w:color="auto" w:fill="auto"/>
          </w:tcPr>
          <w:p w14:paraId="46367A15" w14:textId="77777777" w:rsidR="00586FEF" w:rsidRPr="002460E2" w:rsidRDefault="00B12EE5" w:rsidP="00586FEF">
            <w:pPr>
              <w:rPr>
                <w:sz w:val="18"/>
                <w:szCs w:val="18"/>
                <w:lang w:val="ro-MD" w:eastAsia="en-US"/>
              </w:rPr>
            </w:pPr>
            <w:r w:rsidRPr="002460E2">
              <w:rPr>
                <w:sz w:val="18"/>
                <w:szCs w:val="18"/>
                <w:lang w:val="ro-MD" w:eastAsia="en-US"/>
              </w:rPr>
              <w:lastRenderedPageBreak/>
              <w:t>80</w:t>
            </w:r>
            <w:r w:rsidR="00E3002F" w:rsidRPr="002460E2">
              <w:rPr>
                <w:sz w:val="18"/>
                <w:szCs w:val="18"/>
                <w:lang w:val="ro-MD" w:eastAsia="en-US"/>
              </w:rPr>
              <w:t xml:space="preserve">. </w:t>
            </w:r>
            <w:r w:rsidR="00586FEF" w:rsidRPr="002460E2">
              <w:rPr>
                <w:sz w:val="18"/>
                <w:szCs w:val="18"/>
                <w:lang w:val="ro-MD" w:eastAsia="en-US"/>
              </w:rPr>
              <w:t>Ponderea de risc aferentă factorilor de risc valutar în ceea ce privește perechile de monede formate din euro și moneda unui stat membru care participă la MCS II este una dintre următoarele metode:</w:t>
            </w:r>
          </w:p>
          <w:p w14:paraId="089D4AF4" w14:textId="7273FA66" w:rsidR="00E3002F" w:rsidRPr="002460E2" w:rsidRDefault="00B12EE5" w:rsidP="00E3002F">
            <w:pPr>
              <w:rPr>
                <w:sz w:val="18"/>
                <w:szCs w:val="18"/>
                <w:lang w:val="ro-MD" w:eastAsia="en-US"/>
              </w:rPr>
            </w:pPr>
            <w:r w:rsidRPr="002460E2">
              <w:rPr>
                <w:sz w:val="18"/>
                <w:szCs w:val="18"/>
                <w:lang w:val="ro-MD" w:eastAsia="en-US"/>
              </w:rPr>
              <w:lastRenderedPageBreak/>
              <w:t>80</w:t>
            </w:r>
            <w:r w:rsidR="00E3002F" w:rsidRPr="002460E2">
              <w:rPr>
                <w:sz w:val="18"/>
                <w:szCs w:val="18"/>
                <w:lang w:val="ro-MD" w:eastAsia="en-US"/>
              </w:rPr>
              <w:t xml:space="preserve">.1. ponderea de risc menționată la punctul </w:t>
            </w:r>
            <w:r w:rsidRPr="002460E2">
              <w:rPr>
                <w:sz w:val="18"/>
                <w:szCs w:val="18"/>
                <w:lang w:val="ro-MD" w:eastAsia="en-US"/>
              </w:rPr>
              <w:t>79</w:t>
            </w:r>
            <w:r w:rsidR="00E3002F" w:rsidRPr="002460E2">
              <w:rPr>
                <w:sz w:val="18"/>
                <w:szCs w:val="18"/>
                <w:lang w:val="ro-MD" w:eastAsia="en-US"/>
              </w:rPr>
              <w:t xml:space="preserve"> împărțită la 3;</w:t>
            </w:r>
          </w:p>
          <w:p w14:paraId="26CD5171" w14:textId="652CDF9E" w:rsidR="00E3002F" w:rsidRPr="002460E2" w:rsidRDefault="00B12EE5" w:rsidP="00B12EE5">
            <w:pPr>
              <w:rPr>
                <w:sz w:val="18"/>
                <w:szCs w:val="18"/>
                <w:lang w:val="ro-MD" w:eastAsia="en-US"/>
              </w:rPr>
            </w:pPr>
            <w:r w:rsidRPr="00B12EE5">
              <w:rPr>
                <w:sz w:val="18"/>
                <w:szCs w:val="18"/>
                <w:lang w:val="ro-MD" w:eastAsia="en-US"/>
              </w:rPr>
              <w:t>80.2. fluctuația maximă admisă în cadrul intervalului oficial de fluctuație agreat între Banca Națională a Moldovei și banca centrală a statului partener, dacă acest interval este mai restrâns decât intervalul standard de 15%.</w:t>
            </w:r>
            <w:r w:rsidRPr="00B12EE5" w:rsidDel="00E9214B">
              <w:rPr>
                <w:sz w:val="18"/>
                <w:szCs w:val="18"/>
                <w:lang w:val="ro-MD" w:eastAsia="en-US"/>
              </w:rPr>
              <w:t xml:space="preserve"> </w:t>
            </w:r>
          </w:p>
        </w:tc>
        <w:tc>
          <w:tcPr>
            <w:tcW w:w="1229" w:type="dxa"/>
          </w:tcPr>
          <w:p w14:paraId="2DBA2269" w14:textId="037396A3" w:rsidR="00E3002F" w:rsidRPr="002460E2" w:rsidRDefault="00233328" w:rsidP="00E3002F">
            <w:pPr>
              <w:jc w:val="both"/>
              <w:rPr>
                <w:sz w:val="18"/>
                <w:szCs w:val="18"/>
                <w:lang w:val="ro-MD"/>
              </w:rPr>
            </w:pPr>
            <w:r>
              <w:rPr>
                <w:sz w:val="18"/>
                <w:szCs w:val="18"/>
                <w:lang w:val="ro-MD"/>
              </w:rPr>
              <w:lastRenderedPageBreak/>
              <w:t>c</w:t>
            </w:r>
            <w:r w:rsidR="00E3002F" w:rsidRPr="002460E2">
              <w:rPr>
                <w:sz w:val="18"/>
                <w:szCs w:val="18"/>
                <w:lang w:val="ro-MD"/>
              </w:rPr>
              <w:t>ompatibil</w:t>
            </w:r>
          </w:p>
        </w:tc>
        <w:tc>
          <w:tcPr>
            <w:tcW w:w="5292" w:type="dxa"/>
            <w:tcBorders>
              <w:top w:val="single" w:sz="4" w:space="0" w:color="auto"/>
              <w:bottom w:val="single" w:sz="4" w:space="0" w:color="auto"/>
            </w:tcBorders>
          </w:tcPr>
          <w:p w14:paraId="58C6DF20" w14:textId="77777777" w:rsidR="00E3002F" w:rsidRPr="002460E2" w:rsidRDefault="00E3002F" w:rsidP="00E3002F">
            <w:pPr>
              <w:jc w:val="both"/>
              <w:rPr>
                <w:sz w:val="18"/>
                <w:szCs w:val="18"/>
                <w:lang w:val="ro-MD"/>
              </w:rPr>
            </w:pPr>
          </w:p>
        </w:tc>
      </w:tr>
      <w:tr w:rsidR="00E3002F" w:rsidRPr="002460E2" w14:paraId="48E75858" w14:textId="77777777" w:rsidTr="003F5B3C">
        <w:trPr>
          <w:trHeight w:val="918"/>
        </w:trPr>
        <w:tc>
          <w:tcPr>
            <w:tcW w:w="4253" w:type="dxa"/>
          </w:tcPr>
          <w:p w14:paraId="705B2900" w14:textId="57A7ECC3" w:rsidR="00E3002F" w:rsidRPr="002460E2" w:rsidRDefault="00E3002F" w:rsidP="00E3002F">
            <w:pPr>
              <w:rPr>
                <w:sz w:val="18"/>
                <w:szCs w:val="18"/>
                <w:lang w:val="en-US"/>
              </w:rPr>
            </w:pPr>
            <w:r w:rsidRPr="002460E2">
              <w:rPr>
                <w:sz w:val="18"/>
                <w:szCs w:val="18"/>
                <w:lang w:val="en-US"/>
              </w:rPr>
              <w:t>(3) În pofida alineatului (2), ponderea de risc aferentă factorilor de risc valutar în ceea ce privește monedele menționate la alineatul respectiv care participă la MCS II cu un interval de fluctuație convenit în mod oficial mai îngust decât intervalul standard de plus sau minus 15 % este egală cu fluctuația procentuală maximă în acest interval mai îngust.</w:t>
            </w:r>
          </w:p>
        </w:tc>
        <w:tc>
          <w:tcPr>
            <w:tcW w:w="3685" w:type="dxa"/>
            <w:shd w:val="clear" w:color="auto" w:fill="auto"/>
          </w:tcPr>
          <w:p w14:paraId="7440D47E" w14:textId="753DA5CA" w:rsidR="00E3002F" w:rsidRPr="002460E2" w:rsidRDefault="00B12EE5" w:rsidP="00586FEF">
            <w:pPr>
              <w:rPr>
                <w:sz w:val="18"/>
                <w:szCs w:val="18"/>
                <w:lang w:val="ro-MD" w:eastAsia="en-US"/>
              </w:rPr>
            </w:pPr>
            <w:r w:rsidRPr="002460E2">
              <w:rPr>
                <w:sz w:val="18"/>
                <w:szCs w:val="18"/>
                <w:lang w:val="ro-MD" w:eastAsia="en-US"/>
              </w:rPr>
              <w:t>81</w:t>
            </w:r>
            <w:r w:rsidR="00E3002F" w:rsidRPr="002460E2">
              <w:rPr>
                <w:sz w:val="18"/>
                <w:szCs w:val="18"/>
                <w:lang w:val="ro-MD" w:eastAsia="en-US"/>
              </w:rPr>
              <w:t xml:space="preserve">. În pofida punctului </w:t>
            </w:r>
            <w:r w:rsidRPr="002460E2">
              <w:rPr>
                <w:sz w:val="18"/>
                <w:szCs w:val="18"/>
                <w:lang w:val="ro-MD" w:eastAsia="en-US"/>
              </w:rPr>
              <w:t>80</w:t>
            </w:r>
            <w:r w:rsidR="00E3002F" w:rsidRPr="002460E2">
              <w:rPr>
                <w:sz w:val="18"/>
                <w:szCs w:val="18"/>
                <w:lang w:val="ro-MD" w:eastAsia="en-US"/>
              </w:rPr>
              <w:t>, ponderea de risc aferentă factorilor de risc valutar în ceea ce privește monedele menționate la punctul respectiv care participă la MCS II cu un interval de fluctuație convenit în mod oficial mai îngust decât intervalul standard de plus sau minus 15 % este egală cu fluctuația procentuală maximă în acest interval mai îngust.</w:t>
            </w:r>
          </w:p>
        </w:tc>
        <w:tc>
          <w:tcPr>
            <w:tcW w:w="1229" w:type="dxa"/>
          </w:tcPr>
          <w:p w14:paraId="7624CA66" w14:textId="6E674F0B" w:rsidR="00E3002F" w:rsidRPr="002460E2" w:rsidRDefault="00233328" w:rsidP="00E3002F">
            <w:pPr>
              <w:jc w:val="both"/>
              <w:rPr>
                <w:sz w:val="18"/>
                <w:szCs w:val="18"/>
                <w:lang w:val="ro-MD"/>
              </w:rPr>
            </w:pPr>
            <w:r>
              <w:rPr>
                <w:sz w:val="18"/>
                <w:szCs w:val="18"/>
                <w:lang w:val="ro-MD"/>
              </w:rPr>
              <w:t>c</w:t>
            </w:r>
            <w:r w:rsidR="00E3002F" w:rsidRPr="002460E2">
              <w:rPr>
                <w:sz w:val="18"/>
                <w:szCs w:val="18"/>
                <w:lang w:val="ro-MD"/>
              </w:rPr>
              <w:t>ompatibil</w:t>
            </w:r>
          </w:p>
        </w:tc>
        <w:tc>
          <w:tcPr>
            <w:tcW w:w="5292" w:type="dxa"/>
            <w:tcBorders>
              <w:top w:val="single" w:sz="4" w:space="0" w:color="auto"/>
              <w:bottom w:val="single" w:sz="4" w:space="0" w:color="auto"/>
            </w:tcBorders>
          </w:tcPr>
          <w:p w14:paraId="7C75A928" w14:textId="77777777" w:rsidR="00E3002F" w:rsidRPr="002460E2" w:rsidRDefault="00E3002F" w:rsidP="00E3002F">
            <w:pPr>
              <w:jc w:val="both"/>
              <w:rPr>
                <w:sz w:val="18"/>
                <w:szCs w:val="18"/>
                <w:lang w:val="ro-MD"/>
              </w:rPr>
            </w:pPr>
          </w:p>
        </w:tc>
      </w:tr>
      <w:tr w:rsidR="00E3002F" w:rsidRPr="002460E2" w14:paraId="5F32E2F2" w14:textId="77777777" w:rsidTr="003F5B3C">
        <w:trPr>
          <w:trHeight w:val="918"/>
        </w:trPr>
        <w:tc>
          <w:tcPr>
            <w:tcW w:w="4253" w:type="dxa"/>
          </w:tcPr>
          <w:p w14:paraId="779086D0" w14:textId="6032D738" w:rsidR="00E3002F" w:rsidRPr="002460E2" w:rsidRDefault="00E3002F" w:rsidP="00E3002F">
            <w:pPr>
              <w:rPr>
                <w:sz w:val="18"/>
                <w:szCs w:val="18"/>
                <w:lang w:val="en-US"/>
              </w:rPr>
            </w:pPr>
            <w:r w:rsidRPr="002460E2">
              <w:rPr>
                <w:sz w:val="18"/>
                <w:szCs w:val="18"/>
                <w:lang w:val="en-US"/>
              </w:rPr>
              <w:t>(4) Ponderile de risc pentru toate sensibilitățile vega la factorul de risc valutar sunt de 100 %.</w:t>
            </w:r>
          </w:p>
        </w:tc>
        <w:tc>
          <w:tcPr>
            <w:tcW w:w="3685" w:type="dxa"/>
            <w:shd w:val="clear" w:color="auto" w:fill="auto"/>
          </w:tcPr>
          <w:p w14:paraId="7E90D890" w14:textId="49E45EB1" w:rsidR="00E3002F" w:rsidRPr="002460E2" w:rsidRDefault="00586FEF" w:rsidP="00E3002F">
            <w:pPr>
              <w:tabs>
                <w:tab w:val="left" w:pos="0"/>
              </w:tabs>
              <w:rPr>
                <w:sz w:val="18"/>
                <w:szCs w:val="18"/>
                <w:lang w:val="ro-MD" w:eastAsia="en-US"/>
              </w:rPr>
            </w:pPr>
            <w:r w:rsidRPr="002460E2">
              <w:rPr>
                <w:sz w:val="18"/>
                <w:szCs w:val="18"/>
                <w:lang w:val="ro-MD" w:eastAsia="en-US"/>
              </w:rPr>
              <w:t>82</w:t>
            </w:r>
            <w:r w:rsidR="00E3002F" w:rsidRPr="002460E2">
              <w:rPr>
                <w:sz w:val="18"/>
                <w:szCs w:val="18"/>
                <w:lang w:val="ro-MD" w:eastAsia="en-US"/>
              </w:rPr>
              <w:t>. Ponderile de risc pentru toate sensibilitățile vega la factorul de risc valutar sunt de 100 %.</w:t>
            </w:r>
          </w:p>
        </w:tc>
        <w:tc>
          <w:tcPr>
            <w:tcW w:w="1229" w:type="dxa"/>
          </w:tcPr>
          <w:p w14:paraId="15D10806" w14:textId="7CB2425D" w:rsidR="00E3002F" w:rsidRPr="002460E2" w:rsidRDefault="00233328" w:rsidP="00E3002F">
            <w:pPr>
              <w:jc w:val="both"/>
              <w:rPr>
                <w:sz w:val="18"/>
                <w:szCs w:val="18"/>
                <w:lang w:val="ro-MD"/>
              </w:rPr>
            </w:pPr>
            <w:r>
              <w:rPr>
                <w:sz w:val="18"/>
                <w:szCs w:val="18"/>
                <w:lang w:val="ro-MD"/>
              </w:rPr>
              <w:t>c</w:t>
            </w:r>
            <w:r w:rsidR="00E3002F" w:rsidRPr="002460E2">
              <w:rPr>
                <w:sz w:val="18"/>
                <w:szCs w:val="18"/>
                <w:lang w:val="ro-MD"/>
              </w:rPr>
              <w:t>ompatibil</w:t>
            </w:r>
          </w:p>
        </w:tc>
        <w:tc>
          <w:tcPr>
            <w:tcW w:w="5292" w:type="dxa"/>
            <w:tcBorders>
              <w:top w:val="single" w:sz="4" w:space="0" w:color="auto"/>
              <w:bottom w:val="single" w:sz="4" w:space="0" w:color="auto"/>
            </w:tcBorders>
          </w:tcPr>
          <w:p w14:paraId="0F2D7D76" w14:textId="77777777" w:rsidR="00E3002F" w:rsidRPr="002460E2" w:rsidRDefault="00E3002F" w:rsidP="00E3002F">
            <w:pPr>
              <w:jc w:val="both"/>
              <w:rPr>
                <w:sz w:val="18"/>
                <w:szCs w:val="18"/>
                <w:lang w:val="ro-MD"/>
              </w:rPr>
            </w:pPr>
          </w:p>
        </w:tc>
      </w:tr>
      <w:tr w:rsidR="00E3002F" w:rsidRPr="002460E2" w14:paraId="484781BB" w14:textId="77777777" w:rsidTr="003F5B3C">
        <w:trPr>
          <w:trHeight w:val="918"/>
        </w:trPr>
        <w:tc>
          <w:tcPr>
            <w:tcW w:w="4253" w:type="dxa"/>
          </w:tcPr>
          <w:p w14:paraId="21F9BD36" w14:textId="77777777" w:rsidR="00E3002F" w:rsidRPr="002460E2" w:rsidRDefault="00E3002F" w:rsidP="00E3002F">
            <w:pPr>
              <w:rPr>
                <w:i/>
                <w:iCs/>
                <w:sz w:val="18"/>
                <w:szCs w:val="18"/>
                <w:lang w:val="en-US"/>
              </w:rPr>
            </w:pPr>
            <w:r w:rsidRPr="002460E2">
              <w:rPr>
                <w:i/>
                <w:iCs/>
                <w:sz w:val="18"/>
                <w:szCs w:val="18"/>
                <w:lang w:val="en-US"/>
              </w:rPr>
              <w:t>Articolul 383o</w:t>
            </w:r>
          </w:p>
          <w:p w14:paraId="04DC91EB" w14:textId="77777777" w:rsidR="00E3002F" w:rsidRPr="002460E2" w:rsidRDefault="00E3002F" w:rsidP="00E3002F">
            <w:pPr>
              <w:rPr>
                <w:b/>
                <w:bCs/>
                <w:sz w:val="18"/>
                <w:szCs w:val="18"/>
                <w:lang w:val="en-US"/>
              </w:rPr>
            </w:pPr>
            <w:r w:rsidRPr="002460E2">
              <w:rPr>
                <w:b/>
                <w:bCs/>
                <w:sz w:val="18"/>
                <w:szCs w:val="18"/>
                <w:lang w:val="en-US"/>
              </w:rPr>
              <w:t>Corelațiile pentru riscul valutar</w:t>
            </w:r>
          </w:p>
          <w:p w14:paraId="70020C33" w14:textId="5244F864" w:rsidR="00E3002F" w:rsidRPr="002460E2" w:rsidRDefault="00E3002F" w:rsidP="00E3002F">
            <w:pPr>
              <w:rPr>
                <w:sz w:val="18"/>
                <w:szCs w:val="18"/>
                <w:lang w:val="en-US"/>
              </w:rPr>
            </w:pPr>
            <w:r w:rsidRPr="002460E2">
              <w:rPr>
                <w:sz w:val="18"/>
                <w:szCs w:val="18"/>
                <w:lang w:val="en-US"/>
              </w:rPr>
              <w:t>(1) La agregarea sensibilităților la factorul de risc valutar delta între benzi se aplică un parametru de corelație uniform egal cu 60 %.</w:t>
            </w:r>
          </w:p>
          <w:p w14:paraId="6EB8AB35" w14:textId="77777777" w:rsidR="00E3002F" w:rsidRPr="002460E2" w:rsidRDefault="00E3002F" w:rsidP="00E3002F">
            <w:pPr>
              <w:rPr>
                <w:sz w:val="18"/>
                <w:szCs w:val="18"/>
                <w:lang w:val="ro-MD"/>
              </w:rPr>
            </w:pPr>
          </w:p>
        </w:tc>
        <w:tc>
          <w:tcPr>
            <w:tcW w:w="3685" w:type="dxa"/>
            <w:shd w:val="clear" w:color="auto" w:fill="auto"/>
          </w:tcPr>
          <w:p w14:paraId="56BD6EEA" w14:textId="77777777" w:rsidR="00BB1AB7" w:rsidRPr="002460E2" w:rsidRDefault="00BB1AB7" w:rsidP="00BB1AB7">
            <w:pPr>
              <w:pStyle w:val="ListParagraph"/>
              <w:tabs>
                <w:tab w:val="left" w:pos="0"/>
              </w:tabs>
              <w:ind w:left="0"/>
              <w:jc w:val="center"/>
              <w:rPr>
                <w:i/>
                <w:iCs/>
                <w:sz w:val="18"/>
                <w:szCs w:val="18"/>
                <w:lang w:val="ro-MD"/>
              </w:rPr>
            </w:pPr>
            <w:r w:rsidRPr="002460E2">
              <w:rPr>
                <w:i/>
                <w:iCs/>
                <w:sz w:val="18"/>
                <w:szCs w:val="18"/>
                <w:lang w:val="ro-MD"/>
              </w:rPr>
              <w:t>Secțiunea a 14-a</w:t>
            </w:r>
          </w:p>
          <w:p w14:paraId="3C54E378" w14:textId="77777777" w:rsidR="00BB1AB7" w:rsidRPr="002460E2" w:rsidRDefault="00BB1AB7" w:rsidP="00BB1AB7">
            <w:pPr>
              <w:pStyle w:val="ListParagraph"/>
              <w:tabs>
                <w:tab w:val="left" w:pos="0"/>
              </w:tabs>
              <w:ind w:left="0"/>
              <w:jc w:val="center"/>
              <w:rPr>
                <w:b/>
                <w:bCs/>
                <w:sz w:val="18"/>
                <w:szCs w:val="18"/>
                <w:lang w:val="ro-MD"/>
              </w:rPr>
            </w:pPr>
            <w:r w:rsidRPr="002460E2">
              <w:rPr>
                <w:b/>
                <w:bCs/>
                <w:sz w:val="18"/>
                <w:szCs w:val="18"/>
                <w:lang w:val="ro-MD"/>
              </w:rPr>
              <w:t>Corelațiile pentru riscul valutar</w:t>
            </w:r>
          </w:p>
          <w:p w14:paraId="1FA751FB" w14:textId="04911792" w:rsidR="00BB1AB7" w:rsidRPr="002460E2" w:rsidRDefault="00586FEF" w:rsidP="00BB1AB7">
            <w:pPr>
              <w:tabs>
                <w:tab w:val="left" w:pos="0"/>
              </w:tabs>
              <w:jc w:val="both"/>
              <w:rPr>
                <w:sz w:val="18"/>
                <w:szCs w:val="18"/>
                <w:lang w:val="ro-MD"/>
              </w:rPr>
            </w:pPr>
            <w:r w:rsidRPr="002460E2">
              <w:rPr>
                <w:sz w:val="18"/>
                <w:szCs w:val="18"/>
                <w:lang w:val="ro-MD"/>
              </w:rPr>
              <w:t>83</w:t>
            </w:r>
            <w:r w:rsidR="00BB1AB7" w:rsidRPr="002460E2">
              <w:rPr>
                <w:sz w:val="18"/>
                <w:szCs w:val="18"/>
                <w:lang w:val="ro-MD"/>
              </w:rPr>
              <w:t>. La agregarea sensibilităților la factorul de risc valutar delta între benzi se aplică un parametru de corelație uniform egal cu 60 %.</w:t>
            </w:r>
          </w:p>
          <w:p w14:paraId="3D8CF987" w14:textId="280EEC86" w:rsidR="00E3002F" w:rsidRPr="002460E2" w:rsidRDefault="00E3002F" w:rsidP="00BB1AB7">
            <w:pPr>
              <w:tabs>
                <w:tab w:val="left" w:pos="0"/>
              </w:tabs>
              <w:jc w:val="both"/>
              <w:rPr>
                <w:sz w:val="18"/>
                <w:szCs w:val="18"/>
                <w:lang w:val="ro-MD"/>
              </w:rPr>
            </w:pPr>
          </w:p>
        </w:tc>
        <w:tc>
          <w:tcPr>
            <w:tcW w:w="1229" w:type="dxa"/>
          </w:tcPr>
          <w:p w14:paraId="644D91D3" w14:textId="33C0C51C" w:rsidR="00E3002F" w:rsidRPr="002460E2" w:rsidRDefault="00233328" w:rsidP="00E3002F">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0EE02711" w14:textId="77777777" w:rsidR="00E3002F" w:rsidRPr="002460E2" w:rsidRDefault="00E3002F" w:rsidP="00E3002F">
            <w:pPr>
              <w:jc w:val="both"/>
              <w:rPr>
                <w:sz w:val="18"/>
                <w:szCs w:val="18"/>
                <w:lang w:val="ro-MD"/>
              </w:rPr>
            </w:pPr>
          </w:p>
        </w:tc>
      </w:tr>
      <w:tr w:rsidR="00E3002F" w:rsidRPr="002460E2" w14:paraId="57C952F1" w14:textId="77777777" w:rsidTr="003F5B3C">
        <w:trPr>
          <w:trHeight w:val="918"/>
        </w:trPr>
        <w:tc>
          <w:tcPr>
            <w:tcW w:w="4253" w:type="dxa"/>
          </w:tcPr>
          <w:p w14:paraId="5F1C66F1" w14:textId="653C1F7B" w:rsidR="00E3002F" w:rsidRPr="002460E2" w:rsidRDefault="00E3002F" w:rsidP="00E3002F">
            <w:pPr>
              <w:rPr>
                <w:sz w:val="18"/>
                <w:szCs w:val="18"/>
                <w:lang w:val="en-US"/>
              </w:rPr>
            </w:pPr>
            <w:r w:rsidRPr="002460E2">
              <w:rPr>
                <w:sz w:val="18"/>
                <w:szCs w:val="18"/>
                <w:lang w:val="en-US"/>
              </w:rPr>
              <w:t>(2) La agregarea sensibilităților la factorul de risc valutar vega între benzi se aplică un parametru de corelație uniform egal cu 60 %.</w:t>
            </w:r>
          </w:p>
        </w:tc>
        <w:tc>
          <w:tcPr>
            <w:tcW w:w="3685" w:type="dxa"/>
            <w:shd w:val="clear" w:color="auto" w:fill="auto"/>
          </w:tcPr>
          <w:p w14:paraId="5FA60FE1" w14:textId="1B0BE6C2" w:rsidR="00E3002F" w:rsidRPr="002460E2" w:rsidRDefault="00586FEF" w:rsidP="00BB1AB7">
            <w:pPr>
              <w:jc w:val="both"/>
              <w:rPr>
                <w:bCs/>
                <w:i/>
                <w:iCs/>
                <w:sz w:val="18"/>
                <w:szCs w:val="18"/>
                <w:lang w:val="ro-MD" w:eastAsia="en-US"/>
              </w:rPr>
            </w:pPr>
            <w:r w:rsidRPr="002460E2">
              <w:rPr>
                <w:sz w:val="18"/>
                <w:szCs w:val="18"/>
                <w:lang w:val="ro-MD"/>
              </w:rPr>
              <w:t>84</w:t>
            </w:r>
            <w:r w:rsidR="00BB1AB7" w:rsidRPr="002460E2">
              <w:rPr>
                <w:sz w:val="18"/>
                <w:szCs w:val="18"/>
                <w:lang w:val="ro-MD"/>
              </w:rPr>
              <w:t>. La agregarea sensibilităților la factorul de risc valutar vega între benzi se aplică un parametru de corelație uniform egal cu 60 %.</w:t>
            </w:r>
          </w:p>
        </w:tc>
        <w:tc>
          <w:tcPr>
            <w:tcW w:w="1229" w:type="dxa"/>
          </w:tcPr>
          <w:p w14:paraId="00BC0CE6" w14:textId="655F7E71" w:rsidR="00E3002F" w:rsidRPr="002460E2" w:rsidRDefault="00233328" w:rsidP="00E3002F">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49478515" w14:textId="77777777" w:rsidR="00E3002F" w:rsidRPr="002460E2" w:rsidRDefault="00E3002F" w:rsidP="00E3002F">
            <w:pPr>
              <w:jc w:val="both"/>
              <w:rPr>
                <w:sz w:val="18"/>
                <w:szCs w:val="18"/>
                <w:lang w:val="ro-MD"/>
              </w:rPr>
            </w:pPr>
          </w:p>
        </w:tc>
      </w:tr>
      <w:tr w:rsidR="006B094C" w:rsidRPr="002460E2" w14:paraId="11582332" w14:textId="77777777" w:rsidTr="003F5B3C">
        <w:trPr>
          <w:trHeight w:val="5388"/>
        </w:trPr>
        <w:tc>
          <w:tcPr>
            <w:tcW w:w="4253" w:type="dxa"/>
          </w:tcPr>
          <w:p w14:paraId="43AC1B30" w14:textId="77777777" w:rsidR="006B094C" w:rsidRPr="002460E2" w:rsidRDefault="006B094C" w:rsidP="006B094C">
            <w:pPr>
              <w:rPr>
                <w:i/>
                <w:iCs/>
                <w:sz w:val="18"/>
                <w:szCs w:val="18"/>
                <w:lang w:val="en-US"/>
              </w:rPr>
            </w:pPr>
            <w:r w:rsidRPr="002460E2">
              <w:rPr>
                <w:i/>
                <w:iCs/>
                <w:sz w:val="18"/>
                <w:szCs w:val="18"/>
                <w:lang w:val="en-US"/>
              </w:rPr>
              <w:lastRenderedPageBreak/>
              <w:t>Articolul 383p</w:t>
            </w:r>
          </w:p>
          <w:p w14:paraId="3C9BE61E" w14:textId="77777777" w:rsidR="006B094C" w:rsidRPr="002460E2" w:rsidRDefault="006B094C" w:rsidP="006B094C">
            <w:pPr>
              <w:rPr>
                <w:b/>
                <w:bCs/>
                <w:sz w:val="18"/>
                <w:szCs w:val="18"/>
                <w:lang w:val="en-US"/>
              </w:rPr>
            </w:pPr>
            <w:r w:rsidRPr="002460E2">
              <w:rPr>
                <w:b/>
                <w:bCs/>
                <w:sz w:val="18"/>
                <w:szCs w:val="18"/>
                <w:lang w:val="en-US"/>
              </w:rPr>
              <w:t>Ponderile de risc pentru riscul de marjă de credit al contrapărții</w:t>
            </w:r>
          </w:p>
          <w:p w14:paraId="49C7B458" w14:textId="7231FD6E" w:rsidR="006B094C" w:rsidRPr="002460E2" w:rsidRDefault="006B094C" w:rsidP="006B094C">
            <w:pPr>
              <w:rPr>
                <w:sz w:val="18"/>
                <w:szCs w:val="18"/>
                <w:lang w:val="en-US"/>
              </w:rPr>
            </w:pPr>
            <w:r w:rsidRPr="002460E2">
              <w:rPr>
                <w:sz w:val="18"/>
                <w:szCs w:val="18"/>
                <w:lang w:val="en-US"/>
              </w:rPr>
              <w:t>(1) Ponderile de risc pentru sensibilitățile delta la factori de risc de marjă de credit al contrapărții sunt aceleași pentru toate scadențele (0,5 ani, 1 an, 3 ani, 5 ani, 10 ani) din fiecare bandă din tabelul 1 și au următoarele valori:</w:t>
            </w:r>
          </w:p>
          <w:p w14:paraId="7C08FFF6" w14:textId="77777777" w:rsidR="006B094C" w:rsidRPr="002460E2" w:rsidRDefault="006B094C" w:rsidP="006B094C">
            <w:pPr>
              <w:rPr>
                <w:sz w:val="18"/>
                <w:szCs w:val="18"/>
                <w:lang w:val="en-US"/>
              </w:rPr>
            </w:pPr>
          </w:p>
          <w:p w14:paraId="005077F5" w14:textId="77777777" w:rsidR="006B094C" w:rsidRPr="002460E2" w:rsidRDefault="006B094C" w:rsidP="006B094C">
            <w:pPr>
              <w:rPr>
                <w:i/>
                <w:iCs/>
                <w:sz w:val="18"/>
                <w:szCs w:val="18"/>
              </w:rPr>
            </w:pPr>
            <w:r w:rsidRPr="002460E2">
              <w:rPr>
                <w:i/>
                <w:iCs/>
                <w:sz w:val="18"/>
                <w:szCs w:val="18"/>
              </w:rPr>
              <w:t>Tabelul 1</w:t>
            </w:r>
          </w:p>
          <w:p w14:paraId="615CC542" w14:textId="1307E33E" w:rsidR="006B094C" w:rsidRPr="002460E2" w:rsidRDefault="006B094C" w:rsidP="006B094C">
            <w:pPr>
              <w:rPr>
                <w:sz w:val="18"/>
                <w:szCs w:val="18"/>
                <w:lang w:val="ro-MD"/>
              </w:rPr>
            </w:pPr>
            <w:r w:rsidRPr="002460E2">
              <w:rPr>
                <w:noProof/>
                <w:sz w:val="18"/>
                <w:szCs w:val="18"/>
              </w:rPr>
              <w:drawing>
                <wp:inline distT="0" distB="0" distL="0" distR="0" wp14:anchorId="30A57E71" wp14:editId="57F08260">
                  <wp:extent cx="2393039" cy="3114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6736" cy="3184522"/>
                          </a:xfrm>
                          <a:prstGeom prst="rect">
                            <a:avLst/>
                          </a:prstGeom>
                          <a:noFill/>
                          <a:ln>
                            <a:noFill/>
                          </a:ln>
                        </pic:spPr>
                      </pic:pic>
                    </a:graphicData>
                  </a:graphic>
                </wp:inline>
              </w:drawing>
            </w:r>
          </w:p>
        </w:tc>
        <w:tc>
          <w:tcPr>
            <w:tcW w:w="3685" w:type="dxa"/>
            <w:shd w:val="clear" w:color="auto" w:fill="auto"/>
          </w:tcPr>
          <w:p w14:paraId="485421F2" w14:textId="77777777" w:rsidR="006B094C" w:rsidRPr="002460E2" w:rsidRDefault="006B094C" w:rsidP="006B094C">
            <w:pPr>
              <w:pStyle w:val="ListParagraph"/>
              <w:ind w:left="0"/>
              <w:jc w:val="center"/>
              <w:rPr>
                <w:i/>
                <w:iCs/>
                <w:sz w:val="18"/>
                <w:szCs w:val="18"/>
                <w:lang w:val="ro-MD"/>
              </w:rPr>
            </w:pPr>
            <w:bookmarkStart w:id="9" w:name="_Hlk199766968"/>
            <w:r w:rsidRPr="002460E2">
              <w:rPr>
                <w:i/>
                <w:iCs/>
                <w:sz w:val="18"/>
                <w:szCs w:val="18"/>
                <w:lang w:val="ro-MD"/>
              </w:rPr>
              <w:t>Secțiunea a 15-a</w:t>
            </w:r>
          </w:p>
          <w:bookmarkEnd w:id="9"/>
          <w:p w14:paraId="5EA724F1" w14:textId="77777777" w:rsidR="006B094C" w:rsidRPr="002460E2" w:rsidRDefault="006B094C" w:rsidP="006B094C">
            <w:pPr>
              <w:jc w:val="center"/>
              <w:rPr>
                <w:rFonts w:eastAsia="Calibri"/>
                <w:b/>
                <w:bCs/>
                <w:kern w:val="2"/>
                <w:sz w:val="18"/>
                <w:szCs w:val="18"/>
                <w:lang w:val="ro-MD"/>
              </w:rPr>
            </w:pPr>
            <w:r w:rsidRPr="002460E2">
              <w:rPr>
                <w:rFonts w:eastAsia="Calibri"/>
                <w:b/>
                <w:bCs/>
                <w:kern w:val="2"/>
                <w:sz w:val="18"/>
                <w:szCs w:val="18"/>
                <w:lang w:val="ro-MD"/>
              </w:rPr>
              <w:t>Ponderile de risc pentru riscul de marjă de credit al contrapărții</w:t>
            </w:r>
          </w:p>
          <w:p w14:paraId="124E06C8" w14:textId="77777777" w:rsidR="00586FEF" w:rsidRPr="002460E2" w:rsidRDefault="00586FEF" w:rsidP="00586FEF">
            <w:pPr>
              <w:jc w:val="both"/>
              <w:rPr>
                <w:rFonts w:eastAsia="Calibri"/>
                <w:kern w:val="2"/>
                <w:sz w:val="18"/>
                <w:szCs w:val="18"/>
                <w:lang w:val="ro-MD"/>
              </w:rPr>
            </w:pPr>
            <w:r w:rsidRPr="002460E2">
              <w:rPr>
                <w:rFonts w:eastAsia="Calibri"/>
                <w:kern w:val="2"/>
                <w:sz w:val="18"/>
                <w:szCs w:val="18"/>
                <w:lang w:val="ro-MD"/>
              </w:rPr>
              <w:t>85</w:t>
            </w:r>
            <w:r w:rsidR="006B094C" w:rsidRPr="002460E2">
              <w:rPr>
                <w:rFonts w:eastAsia="Calibri"/>
                <w:kern w:val="2"/>
                <w:sz w:val="18"/>
                <w:szCs w:val="18"/>
                <w:lang w:val="ro-MD"/>
              </w:rPr>
              <w:t>. Ponderile de risc pentru sensibilitățile delta la factori de risc de marjă de credit al contrapărții sunt aceleași pentru toate scadențele (0,5 ani, 1 an, 3 ani, 5 ani, 10 ani) din fiecare bandă din tabelul 1 și au următoarele valori:</w:t>
            </w:r>
          </w:p>
          <w:p w14:paraId="3F086AFD" w14:textId="778A5E3B" w:rsidR="006B094C" w:rsidRPr="002460E2" w:rsidRDefault="006B094C" w:rsidP="00586FEF">
            <w:pPr>
              <w:jc w:val="right"/>
              <w:rPr>
                <w:bCs/>
                <w:i/>
                <w:iCs/>
                <w:sz w:val="18"/>
                <w:szCs w:val="18"/>
                <w:lang w:val="ro-MD" w:eastAsia="en-US"/>
              </w:rPr>
            </w:pPr>
            <w:r w:rsidRPr="002460E2">
              <w:rPr>
                <w:rFonts w:eastAsia="Calibri"/>
                <w:i/>
                <w:iCs/>
                <w:kern w:val="2"/>
                <w:sz w:val="18"/>
                <w:szCs w:val="18"/>
                <w:lang w:val="ro-MD"/>
              </w:rPr>
              <w:t>Tabelul 1</w:t>
            </w:r>
            <w:r w:rsidR="00586FEF" w:rsidRPr="002460E2">
              <w:rPr>
                <w:rFonts w:eastAsia="Calibri"/>
                <w:noProof/>
                <w:sz w:val="18"/>
                <w:szCs w:val="18"/>
                <w:lang w:val="en-US" w:eastAsia="en-US"/>
              </w:rPr>
              <w:drawing>
                <wp:inline distT="0" distB="0" distL="0" distR="0" wp14:anchorId="3BD2B82C" wp14:editId="36084D4D">
                  <wp:extent cx="2146336" cy="331735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4615" cy="3330154"/>
                          </a:xfrm>
                          <a:prstGeom prst="rect">
                            <a:avLst/>
                          </a:prstGeom>
                          <a:noFill/>
                          <a:ln>
                            <a:noFill/>
                          </a:ln>
                        </pic:spPr>
                      </pic:pic>
                    </a:graphicData>
                  </a:graphic>
                </wp:inline>
              </w:drawing>
            </w:r>
          </w:p>
        </w:tc>
        <w:tc>
          <w:tcPr>
            <w:tcW w:w="1229" w:type="dxa"/>
          </w:tcPr>
          <w:p w14:paraId="40FD546F" w14:textId="7F8D3A80" w:rsidR="006B094C" w:rsidRPr="002460E2" w:rsidRDefault="00233328" w:rsidP="006B094C">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519D0F13" w14:textId="77777777" w:rsidR="006B094C" w:rsidRPr="002460E2" w:rsidRDefault="006B094C" w:rsidP="006B094C">
            <w:pPr>
              <w:jc w:val="both"/>
              <w:rPr>
                <w:sz w:val="18"/>
                <w:szCs w:val="18"/>
                <w:lang w:val="ro-MD"/>
              </w:rPr>
            </w:pPr>
          </w:p>
        </w:tc>
      </w:tr>
      <w:tr w:rsidR="006B094C" w:rsidRPr="002460E2" w14:paraId="56821BA3" w14:textId="77777777" w:rsidTr="003F5B3C">
        <w:trPr>
          <w:trHeight w:val="918"/>
        </w:trPr>
        <w:tc>
          <w:tcPr>
            <w:tcW w:w="4253" w:type="dxa"/>
          </w:tcPr>
          <w:p w14:paraId="39891396" w14:textId="77777777" w:rsidR="006B094C" w:rsidRPr="002460E2" w:rsidRDefault="006B094C" w:rsidP="006B094C">
            <w:pPr>
              <w:rPr>
                <w:sz w:val="18"/>
                <w:szCs w:val="18"/>
                <w:lang w:val="en-US"/>
              </w:rPr>
            </w:pPr>
            <w:r w:rsidRPr="002460E2">
              <w:rPr>
                <w:sz w:val="18"/>
                <w:szCs w:val="18"/>
                <w:lang w:val="en-US"/>
              </w:rPr>
              <w:lastRenderedPageBreak/>
              <w:t>În cazul în care nu există ratinguri externe pentru o anumită contraparte, instituțiile pot, sub rezerva aprobării de către autoritățile competente,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p w14:paraId="64C5F491" w14:textId="77777777" w:rsidR="006B094C" w:rsidRPr="002460E2" w:rsidRDefault="006B094C" w:rsidP="006B094C">
            <w:pPr>
              <w:rPr>
                <w:sz w:val="18"/>
                <w:szCs w:val="18"/>
                <w:lang w:val="en-US"/>
              </w:rPr>
            </w:pPr>
          </w:p>
        </w:tc>
        <w:tc>
          <w:tcPr>
            <w:tcW w:w="3685" w:type="dxa"/>
            <w:shd w:val="clear" w:color="auto" w:fill="auto"/>
          </w:tcPr>
          <w:p w14:paraId="19445DFB" w14:textId="42805F63" w:rsidR="006B094C" w:rsidRPr="002460E2" w:rsidRDefault="006B094C" w:rsidP="006B094C">
            <w:pPr>
              <w:spacing w:line="259" w:lineRule="auto"/>
              <w:jc w:val="both"/>
              <w:rPr>
                <w:bCs/>
                <w:i/>
                <w:iCs/>
                <w:sz w:val="18"/>
                <w:szCs w:val="18"/>
                <w:lang w:val="ro-MD" w:eastAsia="en-US"/>
              </w:rPr>
            </w:pPr>
            <w:r w:rsidRPr="002460E2">
              <w:rPr>
                <w:rFonts w:eastAsia="Calibri"/>
                <w:kern w:val="2"/>
                <w:sz w:val="18"/>
                <w:szCs w:val="18"/>
                <w:lang w:val="ro-MD" w:eastAsia="en-US"/>
              </w:rPr>
              <w:t>8</w:t>
            </w:r>
            <w:r w:rsidR="00586FEF" w:rsidRPr="002460E2">
              <w:rPr>
                <w:rFonts w:eastAsia="Calibri"/>
                <w:kern w:val="2"/>
                <w:sz w:val="18"/>
                <w:szCs w:val="18"/>
                <w:lang w:val="ro-MD" w:eastAsia="en-US"/>
              </w:rPr>
              <w:t>6</w:t>
            </w:r>
            <w:r w:rsidRPr="002460E2">
              <w:rPr>
                <w:rFonts w:eastAsia="Calibri"/>
                <w:kern w:val="2"/>
                <w:sz w:val="18"/>
                <w:szCs w:val="18"/>
                <w:lang w:val="ro-MD" w:eastAsia="en-US"/>
              </w:rPr>
              <w:t xml:space="preserve">. În cazul în care nu există ratinguri externe pentru o anumită contraparte, băncile pot, sub rezerva aprobării </w:t>
            </w:r>
            <w:r w:rsidR="00FD1EB7" w:rsidRPr="002460E2">
              <w:rPr>
                <w:rFonts w:eastAsia="Calibri"/>
                <w:kern w:val="2"/>
                <w:sz w:val="18"/>
                <w:szCs w:val="18"/>
                <w:lang w:val="ro-MD" w:eastAsia="en-US"/>
              </w:rPr>
              <w:t xml:space="preserve">prealabile </w:t>
            </w:r>
            <w:r w:rsidRPr="002460E2">
              <w:rPr>
                <w:rFonts w:eastAsia="Calibri"/>
                <w:kern w:val="2"/>
                <w:sz w:val="18"/>
                <w:szCs w:val="18"/>
                <w:lang w:val="ro-MD" w:eastAsia="en-US"/>
              </w:rPr>
              <w:t>de către Banca Națională</w:t>
            </w:r>
            <w:r w:rsidR="00A64198" w:rsidRPr="002460E2">
              <w:rPr>
                <w:rFonts w:eastAsia="Calibri"/>
                <w:kern w:val="2"/>
                <w:sz w:val="18"/>
                <w:szCs w:val="18"/>
                <w:lang w:val="ro-MD" w:eastAsia="en-US"/>
              </w:rPr>
              <w:t xml:space="preserve"> a Moldovei</w:t>
            </w:r>
            <w:r w:rsidRPr="002460E2">
              <w:rPr>
                <w:rFonts w:eastAsia="Calibri"/>
                <w:kern w:val="2"/>
                <w:sz w:val="18"/>
                <w:szCs w:val="18"/>
                <w:lang w:val="ro-MD" w:eastAsia="en-US"/>
              </w:rPr>
              <w:t>,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tc>
        <w:tc>
          <w:tcPr>
            <w:tcW w:w="1229" w:type="dxa"/>
          </w:tcPr>
          <w:p w14:paraId="6ED630F6" w14:textId="695BCE00" w:rsidR="006B094C" w:rsidRPr="002460E2" w:rsidRDefault="00233328" w:rsidP="006B094C">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2A2131D9" w14:textId="77777777" w:rsidR="006B094C" w:rsidRPr="002460E2" w:rsidRDefault="006B094C" w:rsidP="006B094C">
            <w:pPr>
              <w:jc w:val="both"/>
              <w:rPr>
                <w:sz w:val="18"/>
                <w:szCs w:val="18"/>
                <w:lang w:val="ro-MD"/>
              </w:rPr>
            </w:pPr>
          </w:p>
        </w:tc>
      </w:tr>
      <w:tr w:rsidR="006B094C" w:rsidRPr="002460E2" w14:paraId="27C10386" w14:textId="77777777" w:rsidTr="003F5B3C">
        <w:trPr>
          <w:trHeight w:val="918"/>
        </w:trPr>
        <w:tc>
          <w:tcPr>
            <w:tcW w:w="4253" w:type="dxa"/>
          </w:tcPr>
          <w:p w14:paraId="773A8122" w14:textId="2F00E75A" w:rsidR="006B094C" w:rsidRPr="002460E2" w:rsidRDefault="006B094C" w:rsidP="006B094C">
            <w:pPr>
              <w:rPr>
                <w:sz w:val="18"/>
                <w:szCs w:val="18"/>
                <w:lang w:val="en-US"/>
              </w:rPr>
            </w:pPr>
            <w:r w:rsidRPr="002460E2">
              <w:rPr>
                <w:sz w:val="18"/>
                <w:szCs w:val="18"/>
                <w:lang w:val="en-US"/>
              </w:rPr>
              <w:t>(2) Atunci când încadrează o expunere la risc într-un sector, instituțiile se bazează pe o clasificare care este utilizată în mod curent pe piață pentru gruparea emitenților în funcție de sector. Instituțiile încadrează fiecare emitent într-o singură bandă sectorială prevăzută în tabelul 1. Expunerile la risc provenind de la orice emitent pe care o instituție nu le poate încadra într-un anumit sector în acest mod sunt încadrate fie în banda 11, fie în banda 20 din tabelul 1, în funcție de calitatea creditului emitentului.</w:t>
            </w:r>
          </w:p>
        </w:tc>
        <w:tc>
          <w:tcPr>
            <w:tcW w:w="3685" w:type="dxa"/>
            <w:shd w:val="clear" w:color="auto" w:fill="auto"/>
          </w:tcPr>
          <w:p w14:paraId="7D1A59BA" w14:textId="6CDFE8FD" w:rsidR="006B094C" w:rsidRPr="002460E2" w:rsidRDefault="006B094C" w:rsidP="006B094C">
            <w:pPr>
              <w:spacing w:line="259" w:lineRule="auto"/>
              <w:jc w:val="both"/>
              <w:rPr>
                <w:rFonts w:eastAsia="Calibri"/>
                <w:kern w:val="2"/>
                <w:sz w:val="18"/>
                <w:szCs w:val="18"/>
                <w:lang w:val="ro-MD" w:eastAsia="en-US"/>
              </w:rPr>
            </w:pPr>
            <w:r w:rsidRPr="002460E2">
              <w:rPr>
                <w:rFonts w:eastAsia="Calibri"/>
                <w:kern w:val="2"/>
                <w:sz w:val="18"/>
                <w:szCs w:val="18"/>
                <w:lang w:val="ro-MD" w:eastAsia="en-US"/>
              </w:rPr>
              <w:t>8</w:t>
            </w:r>
            <w:r w:rsidR="00586FEF" w:rsidRPr="002460E2">
              <w:rPr>
                <w:rFonts w:eastAsia="Calibri"/>
                <w:kern w:val="2"/>
                <w:sz w:val="18"/>
                <w:szCs w:val="18"/>
                <w:lang w:val="ro-MD" w:eastAsia="en-US"/>
              </w:rPr>
              <w:t>7</w:t>
            </w:r>
            <w:r w:rsidRPr="002460E2">
              <w:rPr>
                <w:rFonts w:eastAsia="Calibri"/>
                <w:kern w:val="2"/>
                <w:sz w:val="18"/>
                <w:szCs w:val="18"/>
                <w:lang w:val="ro-MD" w:eastAsia="en-US"/>
              </w:rPr>
              <w:t>. Atunci când încadrează o expunere la risc într-un sector, băncile se bazează pe o clasificare care este utilizată în mod curent pe piață pentru gruparea emitenților în funcție de sector. Băncile încadrează fiecare emitent într-o singură bandă sectorială prevăzută în tabelul 1. Expunerile la risc provenind de la orice emitent pe care banca nu le poate încadra într-un anumit sector în acest mod sunt încadrate fie în banda 11, fie în banda 20 din tabelul 1, în funcție de calitatea creditului emitentului.</w:t>
            </w:r>
          </w:p>
          <w:p w14:paraId="1A78F422" w14:textId="77777777" w:rsidR="006B094C" w:rsidRPr="002460E2" w:rsidRDefault="006B094C" w:rsidP="006B094C">
            <w:pPr>
              <w:jc w:val="center"/>
              <w:rPr>
                <w:bCs/>
                <w:i/>
                <w:iCs/>
                <w:sz w:val="18"/>
                <w:szCs w:val="18"/>
                <w:lang w:val="ro-MD" w:eastAsia="en-US"/>
              </w:rPr>
            </w:pPr>
          </w:p>
        </w:tc>
        <w:tc>
          <w:tcPr>
            <w:tcW w:w="1229" w:type="dxa"/>
          </w:tcPr>
          <w:p w14:paraId="2D3A7CB7" w14:textId="0AA5AC5B" w:rsidR="006B094C" w:rsidRPr="002460E2" w:rsidRDefault="00233328" w:rsidP="006B094C">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37CF5372" w14:textId="77777777" w:rsidR="006B094C" w:rsidRPr="002460E2" w:rsidRDefault="006B094C" w:rsidP="006B094C">
            <w:pPr>
              <w:jc w:val="both"/>
              <w:rPr>
                <w:sz w:val="18"/>
                <w:szCs w:val="18"/>
                <w:lang w:val="ro-MD"/>
              </w:rPr>
            </w:pPr>
          </w:p>
        </w:tc>
      </w:tr>
      <w:tr w:rsidR="006B094C" w:rsidRPr="002460E2" w14:paraId="3AC06C62" w14:textId="77777777" w:rsidTr="003F5B3C">
        <w:trPr>
          <w:trHeight w:val="918"/>
        </w:trPr>
        <w:tc>
          <w:tcPr>
            <w:tcW w:w="4253" w:type="dxa"/>
          </w:tcPr>
          <w:p w14:paraId="3AC3199B" w14:textId="0DDA9226" w:rsidR="006B094C" w:rsidRPr="002460E2" w:rsidRDefault="006B094C" w:rsidP="006B094C">
            <w:pPr>
              <w:rPr>
                <w:sz w:val="18"/>
                <w:szCs w:val="18"/>
                <w:lang w:val="en-US"/>
              </w:rPr>
            </w:pPr>
            <w:r w:rsidRPr="002460E2">
              <w:rPr>
                <w:sz w:val="18"/>
                <w:szCs w:val="18"/>
                <w:lang w:val="en-US"/>
              </w:rPr>
              <w:t>(3) Instituțiile încadrează în benzile 12 și 21 din tabelul 1 numai expunerile care se raportează la indicii calificați menționați la articolul 383b alineatul (4).</w:t>
            </w:r>
          </w:p>
        </w:tc>
        <w:tc>
          <w:tcPr>
            <w:tcW w:w="3685" w:type="dxa"/>
            <w:shd w:val="clear" w:color="auto" w:fill="auto"/>
          </w:tcPr>
          <w:p w14:paraId="644759F0" w14:textId="0A759D45" w:rsidR="006B094C" w:rsidRPr="002460E2" w:rsidRDefault="006B094C" w:rsidP="006B094C">
            <w:pPr>
              <w:rPr>
                <w:rFonts w:eastAsia="Calibri"/>
                <w:kern w:val="2"/>
                <w:sz w:val="18"/>
                <w:szCs w:val="18"/>
                <w:lang w:val="ro-MD"/>
              </w:rPr>
            </w:pPr>
            <w:r w:rsidRPr="002460E2">
              <w:rPr>
                <w:rFonts w:eastAsia="Calibri"/>
                <w:kern w:val="2"/>
                <w:sz w:val="18"/>
                <w:szCs w:val="18"/>
                <w:lang w:val="ro-MD"/>
              </w:rPr>
              <w:t>8</w:t>
            </w:r>
            <w:r w:rsidR="00586FEF" w:rsidRPr="002460E2">
              <w:rPr>
                <w:rFonts w:eastAsia="Calibri"/>
                <w:kern w:val="2"/>
                <w:sz w:val="18"/>
                <w:szCs w:val="18"/>
                <w:lang w:val="ro-MD"/>
              </w:rPr>
              <w:t>8</w:t>
            </w:r>
            <w:r w:rsidRPr="002460E2">
              <w:rPr>
                <w:rFonts w:eastAsia="Calibri"/>
                <w:kern w:val="2"/>
                <w:sz w:val="18"/>
                <w:szCs w:val="18"/>
                <w:lang w:val="ro-MD"/>
              </w:rPr>
              <w:t xml:space="preserve">. Băncile încadrează în benzile 12 și 21 din tabelul 1 numai expunerile care se raportează la indicii calificați menționați la punctul </w:t>
            </w:r>
            <w:r w:rsidR="00586FEF" w:rsidRPr="002460E2">
              <w:rPr>
                <w:rFonts w:eastAsia="Calibri"/>
                <w:kern w:val="2"/>
                <w:sz w:val="18"/>
                <w:szCs w:val="18"/>
                <w:lang w:val="ro-MD"/>
              </w:rPr>
              <w:t>33</w:t>
            </w:r>
            <w:r w:rsidRPr="002460E2">
              <w:rPr>
                <w:rFonts w:eastAsia="Calibri"/>
                <w:kern w:val="2"/>
                <w:sz w:val="18"/>
                <w:szCs w:val="18"/>
                <w:lang w:val="ro-MD"/>
              </w:rPr>
              <w:t>.</w:t>
            </w:r>
          </w:p>
          <w:p w14:paraId="69BA2A45" w14:textId="77777777" w:rsidR="006B094C" w:rsidRPr="002460E2" w:rsidRDefault="006B094C" w:rsidP="006B094C">
            <w:pPr>
              <w:rPr>
                <w:bCs/>
                <w:i/>
                <w:iCs/>
                <w:sz w:val="18"/>
                <w:szCs w:val="18"/>
                <w:lang w:val="ro-MD" w:eastAsia="en-US"/>
              </w:rPr>
            </w:pPr>
          </w:p>
        </w:tc>
        <w:tc>
          <w:tcPr>
            <w:tcW w:w="1229" w:type="dxa"/>
          </w:tcPr>
          <w:p w14:paraId="25F4868A" w14:textId="5E83838B" w:rsidR="006B094C" w:rsidRPr="002460E2" w:rsidRDefault="00233328" w:rsidP="006B094C">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30DA1E12" w14:textId="77777777" w:rsidR="006B094C" w:rsidRPr="002460E2" w:rsidRDefault="006B094C" w:rsidP="006B094C">
            <w:pPr>
              <w:jc w:val="both"/>
              <w:rPr>
                <w:sz w:val="18"/>
                <w:szCs w:val="18"/>
                <w:lang w:val="ro-MD"/>
              </w:rPr>
            </w:pPr>
          </w:p>
        </w:tc>
      </w:tr>
      <w:tr w:rsidR="006B094C" w:rsidRPr="002460E2" w14:paraId="29C2A01F" w14:textId="77777777" w:rsidTr="003F5B3C">
        <w:trPr>
          <w:trHeight w:val="918"/>
        </w:trPr>
        <w:tc>
          <w:tcPr>
            <w:tcW w:w="4253" w:type="dxa"/>
          </w:tcPr>
          <w:p w14:paraId="68060190" w14:textId="15256EC2" w:rsidR="006B094C" w:rsidRPr="002460E2" w:rsidRDefault="006B094C" w:rsidP="006B094C">
            <w:pPr>
              <w:rPr>
                <w:sz w:val="18"/>
                <w:szCs w:val="18"/>
                <w:lang w:val="en-US"/>
              </w:rPr>
            </w:pPr>
            <w:r w:rsidRPr="002460E2">
              <w:rPr>
                <w:sz w:val="18"/>
                <w:szCs w:val="18"/>
                <w:lang w:val="en-US"/>
              </w:rPr>
              <w:t>(4) Instituțiile utilizează o abordare de tip </w:t>
            </w:r>
            <w:r w:rsidRPr="002460E2">
              <w:rPr>
                <w:i/>
                <w:iCs/>
                <w:sz w:val="18"/>
                <w:szCs w:val="18"/>
                <w:lang w:val="en-US"/>
              </w:rPr>
              <w:t>look-through</w:t>
            </w:r>
            <w:r w:rsidRPr="002460E2">
              <w:rPr>
                <w:sz w:val="18"/>
                <w:szCs w:val="18"/>
                <w:lang w:val="en-US"/>
              </w:rPr>
              <w:t> pentru a determina sensibilitățile unei expuneri care se raportează la un indice necalificat.</w:t>
            </w:r>
          </w:p>
        </w:tc>
        <w:tc>
          <w:tcPr>
            <w:tcW w:w="3685" w:type="dxa"/>
            <w:shd w:val="clear" w:color="auto" w:fill="auto"/>
          </w:tcPr>
          <w:p w14:paraId="02C187EE" w14:textId="0D460146" w:rsidR="006B094C" w:rsidRPr="002460E2" w:rsidRDefault="006B094C" w:rsidP="006B094C">
            <w:pPr>
              <w:rPr>
                <w:rFonts w:eastAsia="Calibri"/>
                <w:kern w:val="2"/>
                <w:sz w:val="18"/>
                <w:szCs w:val="18"/>
                <w:lang w:val="ro-MD"/>
              </w:rPr>
            </w:pPr>
            <w:r w:rsidRPr="002460E2">
              <w:rPr>
                <w:rFonts w:eastAsia="Calibri"/>
                <w:kern w:val="2"/>
                <w:sz w:val="18"/>
                <w:szCs w:val="18"/>
                <w:lang w:val="ro-MD"/>
              </w:rPr>
              <w:t>8</w:t>
            </w:r>
            <w:r w:rsidR="00586FEF" w:rsidRPr="002460E2">
              <w:rPr>
                <w:rFonts w:eastAsia="Calibri"/>
                <w:kern w:val="2"/>
                <w:sz w:val="18"/>
                <w:szCs w:val="18"/>
                <w:lang w:val="ro-MD"/>
              </w:rPr>
              <w:t>9</w:t>
            </w:r>
            <w:r w:rsidRPr="002460E2">
              <w:rPr>
                <w:rFonts w:eastAsia="Calibri"/>
                <w:kern w:val="2"/>
                <w:sz w:val="18"/>
                <w:szCs w:val="18"/>
                <w:lang w:val="ro-MD"/>
              </w:rPr>
              <w:t>. Băncile utilizează o abordare de tip </w:t>
            </w:r>
            <w:r w:rsidRPr="002460E2">
              <w:rPr>
                <w:rFonts w:eastAsia="Calibri"/>
                <w:i/>
                <w:iCs/>
                <w:kern w:val="2"/>
                <w:sz w:val="18"/>
                <w:szCs w:val="18"/>
                <w:lang w:val="ro-MD"/>
              </w:rPr>
              <w:t>look-through</w:t>
            </w:r>
            <w:r w:rsidRPr="002460E2">
              <w:rPr>
                <w:rFonts w:eastAsia="Calibri"/>
                <w:kern w:val="2"/>
                <w:sz w:val="18"/>
                <w:szCs w:val="18"/>
                <w:lang w:val="ro-MD"/>
              </w:rPr>
              <w:t> pentru a determina sensibilitățile unei expuneri care se raportează la un indice necalificat.</w:t>
            </w:r>
          </w:p>
          <w:p w14:paraId="4976D2CB" w14:textId="77777777" w:rsidR="006B094C" w:rsidRPr="002460E2" w:rsidRDefault="006B094C" w:rsidP="006B094C">
            <w:pPr>
              <w:jc w:val="center"/>
              <w:rPr>
                <w:bCs/>
                <w:i/>
                <w:iCs/>
                <w:sz w:val="18"/>
                <w:szCs w:val="18"/>
                <w:lang w:val="ro-MD" w:eastAsia="en-US"/>
              </w:rPr>
            </w:pPr>
          </w:p>
        </w:tc>
        <w:tc>
          <w:tcPr>
            <w:tcW w:w="1229" w:type="dxa"/>
          </w:tcPr>
          <w:p w14:paraId="6E819BA5" w14:textId="02185F50" w:rsidR="006B094C" w:rsidRPr="002460E2" w:rsidRDefault="00233328" w:rsidP="006B094C">
            <w:pPr>
              <w:jc w:val="both"/>
              <w:rPr>
                <w:sz w:val="18"/>
                <w:szCs w:val="18"/>
                <w:lang w:val="ro-MD"/>
              </w:rPr>
            </w:pPr>
            <w:r>
              <w:rPr>
                <w:sz w:val="18"/>
                <w:szCs w:val="18"/>
                <w:lang w:val="ro-MD"/>
              </w:rPr>
              <w:t>c</w:t>
            </w:r>
            <w:r w:rsidR="006B094C" w:rsidRPr="002460E2">
              <w:rPr>
                <w:sz w:val="18"/>
                <w:szCs w:val="18"/>
                <w:lang w:val="ro-MD"/>
              </w:rPr>
              <w:t>ompatibil</w:t>
            </w:r>
          </w:p>
        </w:tc>
        <w:tc>
          <w:tcPr>
            <w:tcW w:w="5292" w:type="dxa"/>
            <w:tcBorders>
              <w:top w:val="single" w:sz="4" w:space="0" w:color="auto"/>
              <w:bottom w:val="single" w:sz="4" w:space="0" w:color="auto"/>
            </w:tcBorders>
          </w:tcPr>
          <w:p w14:paraId="7D3D0A57" w14:textId="77777777" w:rsidR="006B094C" w:rsidRPr="002460E2" w:rsidRDefault="006B094C" w:rsidP="006B094C">
            <w:pPr>
              <w:jc w:val="both"/>
              <w:rPr>
                <w:sz w:val="18"/>
                <w:szCs w:val="18"/>
                <w:lang w:val="ro-MD"/>
              </w:rPr>
            </w:pPr>
          </w:p>
        </w:tc>
      </w:tr>
      <w:tr w:rsidR="00DE1309" w:rsidRPr="002460E2" w14:paraId="0D5F656F" w14:textId="77777777" w:rsidTr="003F5B3C">
        <w:trPr>
          <w:trHeight w:val="918"/>
        </w:trPr>
        <w:tc>
          <w:tcPr>
            <w:tcW w:w="4253" w:type="dxa"/>
          </w:tcPr>
          <w:p w14:paraId="4979EB4F" w14:textId="77777777" w:rsidR="00DE1309" w:rsidRPr="002460E2" w:rsidRDefault="00DE1309" w:rsidP="00DE1309">
            <w:pPr>
              <w:rPr>
                <w:i/>
                <w:iCs/>
                <w:sz w:val="18"/>
                <w:szCs w:val="18"/>
                <w:lang w:val="en-US"/>
              </w:rPr>
            </w:pPr>
            <w:r w:rsidRPr="002460E2">
              <w:rPr>
                <w:i/>
                <w:iCs/>
                <w:sz w:val="18"/>
                <w:szCs w:val="18"/>
                <w:lang w:val="en-US"/>
              </w:rPr>
              <w:lastRenderedPageBreak/>
              <w:t>Articolul 383q</w:t>
            </w:r>
          </w:p>
          <w:p w14:paraId="654504D2" w14:textId="77777777" w:rsidR="00DE1309" w:rsidRPr="002460E2" w:rsidRDefault="00DE1309" w:rsidP="00DE1309">
            <w:pPr>
              <w:rPr>
                <w:b/>
                <w:bCs/>
                <w:sz w:val="18"/>
                <w:szCs w:val="18"/>
                <w:lang w:val="en-US"/>
              </w:rPr>
            </w:pPr>
            <w:r w:rsidRPr="002460E2">
              <w:rPr>
                <w:b/>
                <w:bCs/>
                <w:sz w:val="18"/>
                <w:szCs w:val="18"/>
                <w:lang w:val="en-US"/>
              </w:rPr>
              <w:t>Corelațiile din cadrul unei benzi pentru riscul de marjă de credit al contrapărții</w:t>
            </w:r>
          </w:p>
          <w:p w14:paraId="06277BDD" w14:textId="67B98DBF" w:rsidR="00DE1309" w:rsidRPr="002460E2" w:rsidRDefault="00DE1309" w:rsidP="00DE1309">
            <w:pPr>
              <w:rPr>
                <w:sz w:val="18"/>
                <w:szCs w:val="18"/>
                <w:lang w:val="en-US"/>
              </w:rPr>
            </w:pPr>
            <w:r w:rsidRPr="002460E2">
              <w:rPr>
                <w:sz w:val="18"/>
                <w:szCs w:val="18"/>
                <w:lang w:val="en-US"/>
              </w:rPr>
              <w:t>(1) Între două sensibilități </w:t>
            </w:r>
            <w:r w:rsidRPr="002460E2">
              <w:rPr>
                <w:i/>
                <w:iCs/>
                <w:sz w:val="18"/>
                <w:szCs w:val="18"/>
                <w:lang w:val="en-US"/>
              </w:rPr>
              <w:t>WS</w:t>
            </w:r>
            <w:r w:rsidRPr="002460E2">
              <w:rPr>
                <w:i/>
                <w:iCs/>
                <w:sz w:val="18"/>
                <w:szCs w:val="18"/>
                <w:vertAlign w:val="subscript"/>
                <w:lang w:val="en-US"/>
              </w:rPr>
              <w:t>k</w:t>
            </w:r>
            <w:r w:rsidRPr="002460E2">
              <w:rPr>
                <w:i/>
                <w:iCs/>
                <w:sz w:val="18"/>
                <w:szCs w:val="18"/>
                <w:lang w:val="en-US"/>
              </w:rPr>
              <w:t> </w:t>
            </w:r>
            <w:r w:rsidRPr="002460E2">
              <w:rPr>
                <w:sz w:val="18"/>
                <w:szCs w:val="18"/>
                <w:lang w:val="en-US"/>
              </w:rPr>
              <w:t>și </w:t>
            </w:r>
            <w:r w:rsidRPr="002460E2">
              <w:rPr>
                <w:i/>
                <w:iCs/>
                <w:sz w:val="18"/>
                <w:szCs w:val="18"/>
                <w:lang w:val="en-US"/>
              </w:rPr>
              <w:t>WS</w:t>
            </w:r>
            <w:r w:rsidRPr="002460E2">
              <w:rPr>
                <w:i/>
                <w:iCs/>
                <w:sz w:val="18"/>
                <w:szCs w:val="18"/>
                <w:vertAlign w:val="subscript"/>
                <w:lang w:val="en-US"/>
              </w:rPr>
              <w:t>l</w:t>
            </w:r>
            <w:r w:rsidRPr="002460E2">
              <w:rPr>
                <w:i/>
                <w:iCs/>
                <w:sz w:val="18"/>
                <w:szCs w:val="18"/>
                <w:lang w:val="en-US"/>
              </w:rPr>
              <w:t> </w:t>
            </w:r>
            <w:r w:rsidRPr="002460E2">
              <w:rPr>
                <w:sz w:val="18"/>
                <w:szCs w:val="18"/>
                <w:lang w:val="en-US"/>
              </w:rPr>
              <w:t>, care rezultă din expuneri la risc atribuite benzilor sectoriale 1-11 și 13-20, astfel cum se prevede la articolul 383p alineatul (1) tabelul 1, parametrul de corelație </w:t>
            </w:r>
            <w:r w:rsidRPr="002460E2">
              <w:rPr>
                <w:i/>
                <w:iCs/>
                <w:sz w:val="18"/>
                <w:szCs w:val="18"/>
              </w:rPr>
              <w:t>ρ</w:t>
            </w:r>
            <w:r w:rsidRPr="002460E2">
              <w:rPr>
                <w:i/>
                <w:iCs/>
                <w:sz w:val="18"/>
                <w:szCs w:val="18"/>
                <w:vertAlign w:val="subscript"/>
                <w:lang w:val="en-US"/>
              </w:rPr>
              <w:t>kl</w:t>
            </w:r>
            <w:r w:rsidRPr="002460E2">
              <w:rPr>
                <w:i/>
                <w:iCs/>
                <w:sz w:val="18"/>
                <w:szCs w:val="18"/>
                <w:lang w:val="en-US"/>
              </w:rPr>
              <w:t> </w:t>
            </w:r>
            <w:r w:rsidRPr="002460E2">
              <w:rPr>
                <w:sz w:val="18"/>
                <w:szCs w:val="18"/>
                <w:lang w:val="en-US"/>
              </w:rPr>
              <w:t>se stabilește după cum urmează:</w:t>
            </w:r>
          </w:p>
          <w:p w14:paraId="33C78C4D" w14:textId="77777777" w:rsidR="00DE1309" w:rsidRPr="002460E2" w:rsidRDefault="00DE1309" w:rsidP="00DE1309">
            <w:pPr>
              <w:rPr>
                <w:sz w:val="18"/>
                <w:szCs w:val="18"/>
              </w:rPr>
            </w:pPr>
            <w:r w:rsidRPr="002460E2">
              <w:rPr>
                <w:noProof/>
                <w:sz w:val="18"/>
                <w:szCs w:val="18"/>
              </w:rPr>
              <w:drawing>
                <wp:inline distT="0" distB="0" distL="0" distR="0" wp14:anchorId="62A451D0" wp14:editId="35630824">
                  <wp:extent cx="2389268" cy="294199"/>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9856" cy="300428"/>
                          </a:xfrm>
                          <a:prstGeom prst="rect">
                            <a:avLst/>
                          </a:prstGeom>
                          <a:noFill/>
                          <a:ln>
                            <a:noFill/>
                          </a:ln>
                        </pic:spPr>
                      </pic:pic>
                    </a:graphicData>
                  </a:graphic>
                </wp:inline>
              </w:drawing>
            </w:r>
          </w:p>
          <w:p w14:paraId="095E3699" w14:textId="77777777" w:rsidR="00DE1309" w:rsidRPr="002460E2" w:rsidRDefault="00DE1309" w:rsidP="00DE1309">
            <w:pPr>
              <w:rPr>
                <w:sz w:val="18"/>
                <w:szCs w:val="18"/>
              </w:rPr>
            </w:pPr>
            <w:r w:rsidRPr="002460E2">
              <w:rPr>
                <w:sz w:val="18"/>
                <w:szCs w:val="18"/>
              </w:rPr>
              <w:t>unde:</w:t>
            </w:r>
          </w:p>
          <w:tbl>
            <w:tblPr>
              <w:tblW w:w="5000" w:type="pct"/>
              <w:tblLayout w:type="fixed"/>
              <w:tblCellMar>
                <w:left w:w="0" w:type="dxa"/>
                <w:right w:w="0" w:type="dxa"/>
              </w:tblCellMar>
              <w:tblLook w:val="04A0" w:firstRow="1" w:lastRow="0" w:firstColumn="1" w:lastColumn="0" w:noHBand="0" w:noVBand="1"/>
            </w:tblPr>
            <w:tblGrid>
              <w:gridCol w:w="565"/>
              <w:gridCol w:w="3472"/>
            </w:tblGrid>
            <w:tr w:rsidR="00DE1309" w:rsidRPr="002460E2" w14:paraId="69A471DF" w14:textId="77777777" w:rsidTr="000E21FB">
              <w:tc>
                <w:tcPr>
                  <w:tcW w:w="1290" w:type="dxa"/>
                  <w:shd w:val="clear" w:color="auto" w:fill="auto"/>
                  <w:hideMark/>
                </w:tcPr>
                <w:p w14:paraId="7E615023" w14:textId="77777777" w:rsidR="00DE1309" w:rsidRPr="002460E2" w:rsidRDefault="00DE1309" w:rsidP="00DE1309">
                  <w:pPr>
                    <w:rPr>
                      <w:sz w:val="18"/>
                      <w:szCs w:val="18"/>
                    </w:rPr>
                  </w:pPr>
                  <w:r w:rsidRPr="002460E2">
                    <w:rPr>
                      <w:noProof/>
                      <w:sz w:val="18"/>
                      <w:szCs w:val="18"/>
                    </w:rPr>
                    <w:drawing>
                      <wp:inline distT="0" distB="0" distL="0" distR="0" wp14:anchorId="37774AC2" wp14:editId="71506C98">
                        <wp:extent cx="347088" cy="135173"/>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5832" cy="142473"/>
                                </a:xfrm>
                                <a:prstGeom prst="rect">
                                  <a:avLst/>
                                </a:prstGeom>
                                <a:noFill/>
                                <a:ln>
                                  <a:noFill/>
                                </a:ln>
                              </pic:spPr>
                            </pic:pic>
                          </a:graphicData>
                        </a:graphic>
                      </wp:inline>
                    </w:drawing>
                  </w:r>
                </w:p>
              </w:tc>
              <w:tc>
                <w:tcPr>
                  <w:tcW w:w="8065" w:type="dxa"/>
                  <w:shd w:val="clear" w:color="auto" w:fill="auto"/>
                  <w:hideMark/>
                </w:tcPr>
                <w:p w14:paraId="764C56A2" w14:textId="77777777" w:rsidR="00DE1309" w:rsidRPr="002460E2" w:rsidRDefault="00DE1309" w:rsidP="00DE1309">
                  <w:pPr>
                    <w:rPr>
                      <w:sz w:val="18"/>
                      <w:szCs w:val="18"/>
                      <w:lang w:val="en-US"/>
                    </w:rPr>
                  </w:pPr>
                  <w:r w:rsidRPr="002460E2">
                    <w:rPr>
                      <w:sz w:val="18"/>
                      <w:szCs w:val="18"/>
                      <w:lang w:val="en-US"/>
                    </w:rPr>
                    <w:t>este egal cu 1 atunci când cele două puncte ale sensibilităților k și l sunt identice, iar în caz contrar este egal cu 90 %;</w:t>
                  </w:r>
                </w:p>
              </w:tc>
            </w:tr>
          </w:tbl>
          <w:p w14:paraId="64B15CF0" w14:textId="77777777" w:rsidR="00DE1309" w:rsidRPr="002460E2" w:rsidRDefault="00DE1309" w:rsidP="00DE1309">
            <w:pPr>
              <w:rPr>
                <w:vanish/>
                <w:sz w:val="18"/>
                <w:szCs w:val="18"/>
              </w:rPr>
            </w:pPr>
          </w:p>
          <w:tbl>
            <w:tblPr>
              <w:tblW w:w="3765" w:type="dxa"/>
              <w:tblLayout w:type="fixed"/>
              <w:tblCellMar>
                <w:left w:w="0" w:type="dxa"/>
                <w:right w:w="0" w:type="dxa"/>
              </w:tblCellMar>
              <w:tblLook w:val="04A0" w:firstRow="1" w:lastRow="0" w:firstColumn="1" w:lastColumn="0" w:noHBand="0" w:noVBand="1"/>
            </w:tblPr>
            <w:tblGrid>
              <w:gridCol w:w="443"/>
              <w:gridCol w:w="60"/>
              <w:gridCol w:w="3250"/>
              <w:gridCol w:w="12"/>
            </w:tblGrid>
            <w:tr w:rsidR="00DE1309" w:rsidRPr="002460E2" w14:paraId="6C6282DE" w14:textId="77777777" w:rsidTr="00E36801">
              <w:trPr>
                <w:gridAfter w:val="1"/>
                <w:wAfter w:w="12" w:type="dxa"/>
              </w:trPr>
              <w:tc>
                <w:tcPr>
                  <w:tcW w:w="443" w:type="dxa"/>
                  <w:shd w:val="clear" w:color="auto" w:fill="auto"/>
                  <w:hideMark/>
                </w:tcPr>
                <w:p w14:paraId="034756BB" w14:textId="77777777" w:rsidR="00DE1309" w:rsidRPr="002460E2" w:rsidRDefault="00DE1309" w:rsidP="00DE1309">
                  <w:pPr>
                    <w:rPr>
                      <w:sz w:val="18"/>
                      <w:szCs w:val="18"/>
                    </w:rPr>
                  </w:pPr>
                  <w:r w:rsidRPr="002460E2">
                    <w:rPr>
                      <w:noProof/>
                      <w:sz w:val="18"/>
                      <w:szCs w:val="18"/>
                    </w:rPr>
                    <w:drawing>
                      <wp:inline distT="0" distB="0" distL="0" distR="0" wp14:anchorId="076A424F" wp14:editId="670CCE3A">
                        <wp:extent cx="329567" cy="174929"/>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7217" cy="184297"/>
                                </a:xfrm>
                                <a:prstGeom prst="rect">
                                  <a:avLst/>
                                </a:prstGeom>
                                <a:noFill/>
                                <a:ln>
                                  <a:noFill/>
                                </a:ln>
                              </pic:spPr>
                            </pic:pic>
                          </a:graphicData>
                        </a:graphic>
                      </wp:inline>
                    </w:drawing>
                  </w:r>
                </w:p>
              </w:tc>
              <w:tc>
                <w:tcPr>
                  <w:tcW w:w="3310" w:type="dxa"/>
                  <w:gridSpan w:val="2"/>
                  <w:shd w:val="clear" w:color="auto" w:fill="auto"/>
                  <w:hideMark/>
                </w:tcPr>
                <w:p w14:paraId="62D6FADB" w14:textId="77777777" w:rsidR="00DE1309" w:rsidRPr="002460E2" w:rsidRDefault="00DE1309" w:rsidP="00DE1309">
                  <w:pPr>
                    <w:rPr>
                      <w:sz w:val="18"/>
                      <w:szCs w:val="18"/>
                      <w:lang w:val="en-US"/>
                    </w:rPr>
                  </w:pPr>
                  <w:r w:rsidRPr="002460E2">
                    <w:rPr>
                      <w:sz w:val="18"/>
                      <w:szCs w:val="18"/>
                      <w:lang w:val="en-US"/>
                    </w:rPr>
                    <w:t>este egal cu 1 atunci când cele două nume ale sensibilităților k și l sunt identice, 90 % dacă cele două nume sunt distincte, dar legate juridic, iar în caz contrar este egal cu 50 %;</w:t>
                  </w:r>
                </w:p>
              </w:tc>
            </w:tr>
            <w:tr w:rsidR="00DE1309" w:rsidRPr="002460E2" w14:paraId="72639E14" w14:textId="77777777" w:rsidTr="00E36801">
              <w:trPr>
                <w:trHeight w:val="728"/>
              </w:trPr>
              <w:tc>
                <w:tcPr>
                  <w:tcW w:w="503" w:type="dxa"/>
                  <w:gridSpan w:val="2"/>
                  <w:shd w:val="clear" w:color="auto" w:fill="auto"/>
                  <w:hideMark/>
                </w:tcPr>
                <w:p w14:paraId="668943D4" w14:textId="77777777" w:rsidR="00DE1309" w:rsidRPr="002460E2" w:rsidRDefault="00DE1309" w:rsidP="00DE1309">
                  <w:pPr>
                    <w:rPr>
                      <w:sz w:val="18"/>
                      <w:szCs w:val="18"/>
                    </w:rPr>
                  </w:pPr>
                  <w:r w:rsidRPr="002460E2">
                    <w:rPr>
                      <w:noProof/>
                      <w:sz w:val="18"/>
                      <w:szCs w:val="18"/>
                    </w:rPr>
                    <w:drawing>
                      <wp:inline distT="0" distB="0" distL="0" distR="0" wp14:anchorId="72B44A91" wp14:editId="7C5BC11F">
                        <wp:extent cx="324453" cy="151075"/>
                        <wp:effectExtent l="0" t="0" r="0" b="1905"/>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9731" cy="162845"/>
                                </a:xfrm>
                                <a:prstGeom prst="rect">
                                  <a:avLst/>
                                </a:prstGeom>
                                <a:noFill/>
                                <a:ln>
                                  <a:noFill/>
                                </a:ln>
                              </pic:spPr>
                            </pic:pic>
                          </a:graphicData>
                        </a:graphic>
                      </wp:inline>
                    </w:drawing>
                  </w:r>
                </w:p>
              </w:tc>
              <w:tc>
                <w:tcPr>
                  <w:tcW w:w="3262" w:type="dxa"/>
                  <w:gridSpan w:val="2"/>
                  <w:shd w:val="clear" w:color="auto" w:fill="auto"/>
                  <w:hideMark/>
                </w:tcPr>
                <w:p w14:paraId="3AFC0BF6" w14:textId="77777777" w:rsidR="00DE1309" w:rsidRPr="002460E2" w:rsidRDefault="00DE1309" w:rsidP="00DE1309">
                  <w:pPr>
                    <w:rPr>
                      <w:sz w:val="18"/>
                      <w:szCs w:val="18"/>
                      <w:lang w:val="en-US"/>
                    </w:rPr>
                  </w:pPr>
                  <w:r w:rsidRPr="002460E2">
                    <w:rPr>
                      <w:sz w:val="18"/>
                      <w:szCs w:val="18"/>
                      <w:lang w:val="en-US"/>
                    </w:rPr>
                    <w:t>este egal cu 1 atunci când cele două nume sunt ambele în benzile 1-11 sau sunt ambele în benzile 13-20, iar în caz contrar este egal cu 80 %.</w:t>
                  </w:r>
                </w:p>
              </w:tc>
            </w:tr>
          </w:tbl>
          <w:p w14:paraId="1A43714B" w14:textId="77777777" w:rsidR="00DE1309" w:rsidRPr="002460E2" w:rsidRDefault="00DE1309" w:rsidP="00DE1309">
            <w:pPr>
              <w:rPr>
                <w:vanish/>
                <w:sz w:val="18"/>
                <w:szCs w:val="18"/>
                <w:lang w:val="en-US"/>
              </w:rPr>
            </w:pPr>
          </w:p>
          <w:p w14:paraId="50FE0361" w14:textId="77777777" w:rsidR="00DE1309" w:rsidRPr="002460E2" w:rsidRDefault="00DE1309" w:rsidP="00DE1309">
            <w:pPr>
              <w:rPr>
                <w:sz w:val="18"/>
                <w:szCs w:val="18"/>
                <w:lang w:val="en-US"/>
              </w:rPr>
            </w:pPr>
          </w:p>
        </w:tc>
        <w:tc>
          <w:tcPr>
            <w:tcW w:w="3685" w:type="dxa"/>
            <w:shd w:val="clear" w:color="auto" w:fill="auto"/>
          </w:tcPr>
          <w:p w14:paraId="482C9BED" w14:textId="77777777" w:rsidR="00DE1309" w:rsidRPr="002460E2" w:rsidRDefault="00DE1309" w:rsidP="00DE1309">
            <w:pPr>
              <w:jc w:val="center"/>
              <w:rPr>
                <w:bCs/>
                <w:sz w:val="18"/>
                <w:szCs w:val="18"/>
                <w:lang w:val="ro-MD" w:eastAsia="en-US"/>
              </w:rPr>
            </w:pPr>
            <w:r w:rsidRPr="002460E2">
              <w:rPr>
                <w:bCs/>
                <w:sz w:val="18"/>
                <w:szCs w:val="18"/>
                <w:lang w:val="ro-MD" w:eastAsia="en-US"/>
              </w:rPr>
              <w:t>Secțiunea a 16-a</w:t>
            </w:r>
          </w:p>
          <w:p w14:paraId="7266AA63" w14:textId="77777777" w:rsidR="00DE1309" w:rsidRPr="002460E2" w:rsidRDefault="00DE1309" w:rsidP="00DE1309">
            <w:pPr>
              <w:jc w:val="center"/>
              <w:rPr>
                <w:b/>
                <w:bCs/>
                <w:sz w:val="18"/>
                <w:szCs w:val="18"/>
                <w:lang w:val="ro-MD" w:eastAsia="en-US"/>
              </w:rPr>
            </w:pPr>
            <w:r w:rsidRPr="002460E2">
              <w:rPr>
                <w:b/>
                <w:bCs/>
                <w:sz w:val="18"/>
                <w:szCs w:val="18"/>
                <w:lang w:val="ro-MD" w:eastAsia="en-US"/>
              </w:rPr>
              <w:t>Corelațiile din cadrul unei benzi pentru riscul de marjă de credit al contrapărții și corelațiile dintre benzi pentru riscul de marjă de credit al contrapărții</w:t>
            </w:r>
          </w:p>
          <w:p w14:paraId="67A38941" w14:textId="511D85D1" w:rsidR="00DE1309" w:rsidRPr="002460E2" w:rsidRDefault="00586FEF" w:rsidP="00586FEF">
            <w:pPr>
              <w:tabs>
                <w:tab w:val="left" w:pos="43"/>
              </w:tabs>
              <w:rPr>
                <w:bCs/>
                <w:sz w:val="18"/>
                <w:szCs w:val="18"/>
                <w:lang w:val="ro-MD" w:eastAsia="en-US"/>
              </w:rPr>
            </w:pPr>
            <w:r w:rsidRPr="002460E2">
              <w:rPr>
                <w:sz w:val="18"/>
                <w:szCs w:val="18"/>
                <w:lang w:val="ro-MD" w:eastAsia="en-US"/>
              </w:rPr>
              <w:t>90</w:t>
            </w:r>
            <w:r w:rsidR="00DE1309" w:rsidRPr="002460E2">
              <w:rPr>
                <w:sz w:val="18"/>
                <w:szCs w:val="18"/>
                <w:lang w:val="ro-MD" w:eastAsia="en-US"/>
              </w:rPr>
              <w:t>.</w:t>
            </w:r>
            <w:r w:rsidR="00DE1309" w:rsidRPr="002460E2">
              <w:rPr>
                <w:bCs/>
                <w:sz w:val="18"/>
                <w:szCs w:val="18"/>
                <w:lang w:val="ro-MD" w:eastAsia="en-US"/>
              </w:rPr>
              <w:t xml:space="preserve"> Între două sensibilități WS</w:t>
            </w:r>
            <w:r w:rsidR="00DE1309" w:rsidRPr="002460E2">
              <w:rPr>
                <w:bCs/>
                <w:sz w:val="18"/>
                <w:szCs w:val="18"/>
                <w:vertAlign w:val="subscript"/>
                <w:lang w:val="ro-MD" w:eastAsia="en-US"/>
              </w:rPr>
              <w:t>k</w:t>
            </w:r>
            <w:r w:rsidR="00DE1309" w:rsidRPr="002460E2">
              <w:rPr>
                <w:bCs/>
                <w:sz w:val="18"/>
                <w:szCs w:val="18"/>
                <w:lang w:val="ro-MD" w:eastAsia="en-US"/>
              </w:rPr>
              <w:t> și WS</w:t>
            </w:r>
            <w:r w:rsidR="00DE1309" w:rsidRPr="002460E2">
              <w:rPr>
                <w:bCs/>
                <w:sz w:val="18"/>
                <w:szCs w:val="18"/>
                <w:vertAlign w:val="subscript"/>
                <w:lang w:val="ro-MD" w:eastAsia="en-US"/>
              </w:rPr>
              <w:t>l</w:t>
            </w:r>
            <w:r w:rsidR="00DE1309" w:rsidRPr="002460E2">
              <w:rPr>
                <w:bCs/>
                <w:sz w:val="18"/>
                <w:szCs w:val="18"/>
                <w:lang w:val="ro-MD" w:eastAsia="en-US"/>
              </w:rPr>
              <w:t xml:space="preserve"> , care rezultă din expuneri la risc atribuite benzilor sectoriale 1-11 și 13-20, astfel cum se prevede la punctele </w:t>
            </w:r>
            <w:r w:rsidRPr="002460E2">
              <w:rPr>
                <w:bCs/>
                <w:sz w:val="18"/>
                <w:szCs w:val="18"/>
                <w:lang w:val="ro-MD" w:eastAsia="en-US"/>
              </w:rPr>
              <w:t>85</w:t>
            </w:r>
            <w:r w:rsidR="00DE1309" w:rsidRPr="002460E2">
              <w:rPr>
                <w:bCs/>
                <w:sz w:val="18"/>
                <w:szCs w:val="18"/>
                <w:lang w:val="ro-MD" w:eastAsia="en-US"/>
              </w:rPr>
              <w:t xml:space="preserve"> și 8</w:t>
            </w:r>
            <w:r w:rsidRPr="002460E2">
              <w:rPr>
                <w:bCs/>
                <w:sz w:val="18"/>
                <w:szCs w:val="18"/>
                <w:lang w:val="ro-MD" w:eastAsia="en-US"/>
              </w:rPr>
              <w:t>6</w:t>
            </w:r>
            <w:r w:rsidR="00DE1309" w:rsidRPr="002460E2">
              <w:rPr>
                <w:bCs/>
                <w:sz w:val="18"/>
                <w:szCs w:val="18"/>
                <w:lang w:val="ro-MD" w:eastAsia="en-US"/>
              </w:rPr>
              <w:t>, parametrul de corelație ρ</w:t>
            </w:r>
            <w:r w:rsidR="00DE1309" w:rsidRPr="002460E2">
              <w:rPr>
                <w:bCs/>
                <w:sz w:val="18"/>
                <w:szCs w:val="18"/>
                <w:vertAlign w:val="subscript"/>
                <w:lang w:val="ro-MD" w:eastAsia="en-US"/>
              </w:rPr>
              <w:t>kl</w:t>
            </w:r>
            <w:r w:rsidR="00DE1309" w:rsidRPr="002460E2">
              <w:rPr>
                <w:bCs/>
                <w:sz w:val="18"/>
                <w:szCs w:val="18"/>
                <w:lang w:val="ro-MD" w:eastAsia="en-US"/>
              </w:rPr>
              <w:t> se stabilește după cum urmează:</w:t>
            </w:r>
          </w:p>
          <w:p w14:paraId="07D57508" w14:textId="77777777" w:rsidR="00DE1309" w:rsidRPr="002460E2" w:rsidRDefault="00DE1309" w:rsidP="00DE1309">
            <w:pPr>
              <w:jc w:val="center"/>
              <w:rPr>
                <w:bCs/>
                <w:sz w:val="18"/>
                <w:szCs w:val="18"/>
                <w:lang w:val="ro-MD" w:eastAsia="en-US"/>
              </w:rPr>
            </w:pPr>
            <w:r w:rsidRPr="002460E2">
              <w:rPr>
                <w:bCs/>
                <w:noProof/>
                <w:sz w:val="18"/>
                <w:szCs w:val="18"/>
                <w:lang w:val="ro-MD" w:eastAsia="en-US"/>
              </w:rPr>
              <w:drawing>
                <wp:inline distT="0" distB="0" distL="0" distR="0" wp14:anchorId="61430A08" wp14:editId="4D86F46E">
                  <wp:extent cx="2042808" cy="251538"/>
                  <wp:effectExtent l="0" t="0" r="0" b="0"/>
                  <wp:docPr id="135" name="Pictur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02721" cy="258915"/>
                          </a:xfrm>
                          <a:prstGeom prst="rect">
                            <a:avLst/>
                          </a:prstGeom>
                          <a:noFill/>
                          <a:ln>
                            <a:noFill/>
                          </a:ln>
                        </pic:spPr>
                      </pic:pic>
                    </a:graphicData>
                  </a:graphic>
                </wp:inline>
              </w:drawing>
            </w:r>
          </w:p>
          <w:p w14:paraId="22F77565" w14:textId="77777777" w:rsidR="00DE1309" w:rsidRPr="002460E2" w:rsidRDefault="00DE1309" w:rsidP="00DE1309">
            <w:pPr>
              <w:jc w:val="center"/>
              <w:rPr>
                <w:bCs/>
                <w:sz w:val="18"/>
                <w:szCs w:val="18"/>
                <w:lang w:val="ro-MD" w:eastAsia="en-US"/>
              </w:rPr>
            </w:pPr>
            <w:r w:rsidRPr="002460E2">
              <w:rPr>
                <w:bCs/>
                <w:sz w:val="18"/>
                <w:szCs w:val="18"/>
                <w:lang w:val="ro-MD" w:eastAsia="en-US"/>
              </w:rPr>
              <w:t>unde:</w:t>
            </w:r>
          </w:p>
          <w:tbl>
            <w:tblPr>
              <w:tblW w:w="5000" w:type="pct"/>
              <w:tblLayout w:type="fixed"/>
              <w:tblCellMar>
                <w:left w:w="0" w:type="dxa"/>
                <w:right w:w="0" w:type="dxa"/>
              </w:tblCellMar>
              <w:tblLook w:val="04A0" w:firstRow="1" w:lastRow="0" w:firstColumn="1" w:lastColumn="0" w:noHBand="0" w:noVBand="1"/>
            </w:tblPr>
            <w:tblGrid>
              <w:gridCol w:w="426"/>
              <w:gridCol w:w="3043"/>
            </w:tblGrid>
            <w:tr w:rsidR="00DE1309" w:rsidRPr="002460E2" w14:paraId="044B666F" w14:textId="77777777" w:rsidTr="003245BF">
              <w:tc>
                <w:tcPr>
                  <w:tcW w:w="1163" w:type="dxa"/>
                  <w:shd w:val="clear" w:color="auto" w:fill="auto"/>
                  <w:hideMark/>
                </w:tcPr>
                <w:p w14:paraId="0A5F7418" w14:textId="77777777" w:rsidR="00DE1309" w:rsidRPr="002460E2" w:rsidRDefault="00DE1309" w:rsidP="00DE1309">
                  <w:pPr>
                    <w:jc w:val="center"/>
                    <w:rPr>
                      <w:bCs/>
                      <w:sz w:val="18"/>
                      <w:szCs w:val="18"/>
                      <w:lang w:val="ro-MD" w:eastAsia="en-US"/>
                    </w:rPr>
                  </w:pPr>
                  <w:r w:rsidRPr="002460E2">
                    <w:rPr>
                      <w:bCs/>
                      <w:noProof/>
                      <w:sz w:val="18"/>
                      <w:szCs w:val="18"/>
                      <w:lang w:val="ro-MD" w:eastAsia="en-US"/>
                    </w:rPr>
                    <w:drawing>
                      <wp:inline distT="0" distB="0" distL="0" distR="0" wp14:anchorId="56DCE963" wp14:editId="507FAFC5">
                        <wp:extent cx="374670" cy="145915"/>
                        <wp:effectExtent l="0" t="0" r="6350" b="6985"/>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8908" cy="151460"/>
                                </a:xfrm>
                                <a:prstGeom prst="rect">
                                  <a:avLst/>
                                </a:prstGeom>
                                <a:noFill/>
                                <a:ln>
                                  <a:noFill/>
                                </a:ln>
                              </pic:spPr>
                            </pic:pic>
                          </a:graphicData>
                        </a:graphic>
                      </wp:inline>
                    </w:drawing>
                  </w:r>
                </w:p>
              </w:tc>
              <w:tc>
                <w:tcPr>
                  <w:tcW w:w="8525" w:type="dxa"/>
                  <w:shd w:val="clear" w:color="auto" w:fill="auto"/>
                  <w:hideMark/>
                </w:tcPr>
                <w:p w14:paraId="0AF56C60" w14:textId="77777777" w:rsidR="00DE1309" w:rsidRPr="002460E2" w:rsidRDefault="00DE1309" w:rsidP="00DE1309">
                  <w:pPr>
                    <w:jc w:val="center"/>
                    <w:rPr>
                      <w:bCs/>
                      <w:sz w:val="18"/>
                      <w:szCs w:val="18"/>
                      <w:lang w:val="ro-MD" w:eastAsia="en-US"/>
                    </w:rPr>
                  </w:pPr>
                  <w:r w:rsidRPr="002460E2">
                    <w:rPr>
                      <w:bCs/>
                      <w:sz w:val="18"/>
                      <w:szCs w:val="18"/>
                      <w:lang w:val="ro-MD" w:eastAsia="en-US"/>
                    </w:rPr>
                    <w:t>este egal cu 1 atunci când cele două puncte ale sensibilităților k și l sunt identice, iar în caz contrar este egal cu 90 %;</w:t>
                  </w:r>
                </w:p>
              </w:tc>
            </w:tr>
          </w:tbl>
          <w:p w14:paraId="5BA575B5" w14:textId="77777777" w:rsidR="00DE1309" w:rsidRPr="002460E2" w:rsidRDefault="00DE1309" w:rsidP="00DE1309">
            <w:pPr>
              <w:jc w:val="center"/>
              <w:rPr>
                <w:bCs/>
                <w:vanish/>
                <w:sz w:val="18"/>
                <w:szCs w:val="18"/>
                <w:lang w:val="ro-MD" w:eastAsia="en-US"/>
              </w:rPr>
            </w:pPr>
          </w:p>
          <w:tbl>
            <w:tblPr>
              <w:tblW w:w="5000" w:type="pct"/>
              <w:tblLayout w:type="fixed"/>
              <w:tblCellMar>
                <w:left w:w="0" w:type="dxa"/>
                <w:right w:w="0" w:type="dxa"/>
              </w:tblCellMar>
              <w:tblLook w:val="04A0" w:firstRow="1" w:lastRow="0" w:firstColumn="1" w:lastColumn="0" w:noHBand="0" w:noVBand="1"/>
            </w:tblPr>
            <w:tblGrid>
              <w:gridCol w:w="356"/>
              <w:gridCol w:w="3113"/>
            </w:tblGrid>
            <w:tr w:rsidR="00DE1309" w:rsidRPr="002460E2" w14:paraId="48963711" w14:textId="77777777" w:rsidTr="003245BF">
              <w:tc>
                <w:tcPr>
                  <w:tcW w:w="966" w:type="dxa"/>
                  <w:shd w:val="clear" w:color="auto" w:fill="auto"/>
                  <w:hideMark/>
                </w:tcPr>
                <w:p w14:paraId="75A1823C" w14:textId="77777777" w:rsidR="00DE1309" w:rsidRPr="002460E2" w:rsidRDefault="00DE1309" w:rsidP="00DE1309">
                  <w:pPr>
                    <w:jc w:val="center"/>
                    <w:rPr>
                      <w:bCs/>
                      <w:sz w:val="18"/>
                      <w:szCs w:val="18"/>
                      <w:lang w:val="ro-MD" w:eastAsia="en-US"/>
                    </w:rPr>
                  </w:pPr>
                  <w:r w:rsidRPr="002460E2">
                    <w:rPr>
                      <w:bCs/>
                      <w:noProof/>
                      <w:sz w:val="18"/>
                      <w:szCs w:val="18"/>
                      <w:lang w:val="ro-MD" w:eastAsia="en-US"/>
                    </w:rPr>
                    <w:drawing>
                      <wp:inline distT="0" distB="0" distL="0" distR="0" wp14:anchorId="323939AF" wp14:editId="4E08FE76">
                        <wp:extent cx="219922" cy="116731"/>
                        <wp:effectExtent l="0" t="0" r="0" b="0"/>
                        <wp:docPr id="137" name="Pictur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1900" cy="123089"/>
                                </a:xfrm>
                                <a:prstGeom prst="rect">
                                  <a:avLst/>
                                </a:prstGeom>
                                <a:noFill/>
                                <a:ln>
                                  <a:noFill/>
                                </a:ln>
                              </pic:spPr>
                            </pic:pic>
                          </a:graphicData>
                        </a:graphic>
                      </wp:inline>
                    </w:drawing>
                  </w:r>
                </w:p>
              </w:tc>
              <w:tc>
                <w:tcPr>
                  <w:tcW w:w="8722" w:type="dxa"/>
                  <w:shd w:val="clear" w:color="auto" w:fill="auto"/>
                  <w:hideMark/>
                </w:tcPr>
                <w:p w14:paraId="500E1DB3" w14:textId="77777777" w:rsidR="00DE1309" w:rsidRPr="002460E2" w:rsidRDefault="00DE1309" w:rsidP="00DE1309">
                  <w:pPr>
                    <w:jc w:val="center"/>
                    <w:rPr>
                      <w:bCs/>
                      <w:sz w:val="18"/>
                      <w:szCs w:val="18"/>
                      <w:lang w:val="ro-MD" w:eastAsia="en-US"/>
                    </w:rPr>
                  </w:pPr>
                  <w:r w:rsidRPr="002460E2">
                    <w:rPr>
                      <w:bCs/>
                      <w:sz w:val="18"/>
                      <w:szCs w:val="18"/>
                      <w:lang w:val="ro-MD" w:eastAsia="en-US"/>
                    </w:rPr>
                    <w:t>este egal cu 1 atunci când cele două nume ale sensibilităților k și l sunt identice, 90 % dacă cele două nume sunt distincte, dar legate juridic, iar în caz contrar este egal cu 50 %;</w:t>
                  </w:r>
                </w:p>
              </w:tc>
            </w:tr>
          </w:tbl>
          <w:p w14:paraId="45CB5540" w14:textId="77777777" w:rsidR="00DE1309" w:rsidRPr="002460E2" w:rsidRDefault="00DE1309" w:rsidP="00DE1309">
            <w:pPr>
              <w:jc w:val="center"/>
              <w:rPr>
                <w:bCs/>
                <w:vanish/>
                <w:sz w:val="18"/>
                <w:szCs w:val="18"/>
                <w:lang w:val="ro-MD" w:eastAsia="en-US"/>
              </w:rPr>
            </w:pPr>
          </w:p>
          <w:tbl>
            <w:tblPr>
              <w:tblW w:w="5000" w:type="pct"/>
              <w:tblLayout w:type="fixed"/>
              <w:tblCellMar>
                <w:left w:w="0" w:type="dxa"/>
                <w:right w:w="0" w:type="dxa"/>
              </w:tblCellMar>
              <w:tblLook w:val="04A0" w:firstRow="1" w:lastRow="0" w:firstColumn="1" w:lastColumn="0" w:noHBand="0" w:noVBand="1"/>
            </w:tblPr>
            <w:tblGrid>
              <w:gridCol w:w="344"/>
              <w:gridCol w:w="3125"/>
            </w:tblGrid>
            <w:tr w:rsidR="00DE1309" w:rsidRPr="002460E2" w14:paraId="377010D8" w14:textId="77777777" w:rsidTr="003245BF">
              <w:tc>
                <w:tcPr>
                  <w:tcW w:w="932" w:type="dxa"/>
                  <w:shd w:val="clear" w:color="auto" w:fill="auto"/>
                  <w:hideMark/>
                </w:tcPr>
                <w:p w14:paraId="24925C6E" w14:textId="77777777" w:rsidR="00DE1309" w:rsidRPr="002460E2" w:rsidRDefault="00DE1309" w:rsidP="00DE1309">
                  <w:pPr>
                    <w:jc w:val="center"/>
                    <w:rPr>
                      <w:bCs/>
                      <w:sz w:val="18"/>
                      <w:szCs w:val="18"/>
                      <w:lang w:val="ro-MD" w:eastAsia="en-US"/>
                    </w:rPr>
                  </w:pPr>
                  <w:r w:rsidRPr="002460E2">
                    <w:rPr>
                      <w:bCs/>
                      <w:noProof/>
                      <w:sz w:val="18"/>
                      <w:szCs w:val="18"/>
                      <w:lang w:val="ro-MD" w:eastAsia="en-US"/>
                    </w:rPr>
                    <w:drawing>
                      <wp:inline distT="0" distB="0" distL="0" distR="0" wp14:anchorId="760D0B40" wp14:editId="72B86FCA">
                        <wp:extent cx="301557" cy="140414"/>
                        <wp:effectExtent l="0" t="0" r="3810" b="0"/>
                        <wp:docPr id="138" name="Pictur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1876" cy="145219"/>
                                </a:xfrm>
                                <a:prstGeom prst="rect">
                                  <a:avLst/>
                                </a:prstGeom>
                                <a:noFill/>
                                <a:ln>
                                  <a:noFill/>
                                </a:ln>
                              </pic:spPr>
                            </pic:pic>
                          </a:graphicData>
                        </a:graphic>
                      </wp:inline>
                    </w:drawing>
                  </w:r>
                </w:p>
              </w:tc>
              <w:tc>
                <w:tcPr>
                  <w:tcW w:w="8756" w:type="dxa"/>
                  <w:shd w:val="clear" w:color="auto" w:fill="auto"/>
                  <w:hideMark/>
                </w:tcPr>
                <w:p w14:paraId="1DF0BC2F" w14:textId="77777777" w:rsidR="00DE1309" w:rsidRPr="002460E2" w:rsidRDefault="00DE1309" w:rsidP="00DE1309">
                  <w:pPr>
                    <w:jc w:val="center"/>
                    <w:rPr>
                      <w:bCs/>
                      <w:sz w:val="18"/>
                      <w:szCs w:val="18"/>
                      <w:lang w:val="ro-MD" w:eastAsia="en-US"/>
                    </w:rPr>
                  </w:pPr>
                  <w:r w:rsidRPr="002460E2">
                    <w:rPr>
                      <w:bCs/>
                      <w:sz w:val="18"/>
                      <w:szCs w:val="18"/>
                      <w:lang w:val="ro-MD" w:eastAsia="en-US"/>
                    </w:rPr>
                    <w:t>este egal cu 1 atunci când cele două nume sunt ambele în benzile 1-11 sau sunt ambele în benzile 13-20, iar în caz contrar este egal cu 80 %.</w:t>
                  </w:r>
                </w:p>
              </w:tc>
            </w:tr>
          </w:tbl>
          <w:p w14:paraId="3BD48FE2" w14:textId="77777777" w:rsidR="00DE1309" w:rsidRPr="002460E2" w:rsidRDefault="00DE1309" w:rsidP="00DE1309">
            <w:pPr>
              <w:jc w:val="center"/>
              <w:rPr>
                <w:bCs/>
                <w:sz w:val="18"/>
                <w:szCs w:val="18"/>
                <w:lang w:val="en-US" w:eastAsia="en-US"/>
              </w:rPr>
            </w:pPr>
          </w:p>
        </w:tc>
        <w:tc>
          <w:tcPr>
            <w:tcW w:w="1229" w:type="dxa"/>
          </w:tcPr>
          <w:p w14:paraId="64A0B44E" w14:textId="2264FC77"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04320110" w14:textId="77777777" w:rsidR="00DE1309" w:rsidRPr="002460E2" w:rsidRDefault="00DE1309" w:rsidP="00DE1309">
            <w:pPr>
              <w:jc w:val="both"/>
              <w:rPr>
                <w:sz w:val="18"/>
                <w:szCs w:val="18"/>
                <w:lang w:val="ro-MD"/>
              </w:rPr>
            </w:pPr>
          </w:p>
        </w:tc>
      </w:tr>
      <w:tr w:rsidR="00DE1309" w:rsidRPr="002460E2" w14:paraId="182990B9" w14:textId="77777777" w:rsidTr="003F5B3C">
        <w:trPr>
          <w:trHeight w:val="918"/>
        </w:trPr>
        <w:tc>
          <w:tcPr>
            <w:tcW w:w="4253" w:type="dxa"/>
          </w:tcPr>
          <w:p w14:paraId="65E6430B" w14:textId="2826D23D" w:rsidR="00DE1309" w:rsidRPr="002460E2" w:rsidRDefault="00DE1309" w:rsidP="00DE1309">
            <w:pPr>
              <w:rPr>
                <w:sz w:val="18"/>
                <w:szCs w:val="18"/>
                <w:lang w:val="en-US"/>
              </w:rPr>
            </w:pPr>
            <w:r w:rsidRPr="002460E2">
              <w:rPr>
                <w:sz w:val="18"/>
                <w:szCs w:val="18"/>
                <w:lang w:val="en-US"/>
              </w:rPr>
              <w:t>(2) Între două sensibilități </w:t>
            </w:r>
            <w:r w:rsidRPr="002460E2">
              <w:rPr>
                <w:i/>
                <w:iCs/>
                <w:sz w:val="18"/>
                <w:szCs w:val="18"/>
                <w:lang w:val="en-US"/>
              </w:rPr>
              <w:t>WS</w:t>
            </w:r>
            <w:r w:rsidRPr="002460E2">
              <w:rPr>
                <w:i/>
                <w:iCs/>
                <w:sz w:val="18"/>
                <w:szCs w:val="18"/>
                <w:vertAlign w:val="subscript"/>
                <w:lang w:val="en-US"/>
              </w:rPr>
              <w:t>k</w:t>
            </w:r>
            <w:r w:rsidRPr="002460E2">
              <w:rPr>
                <w:i/>
                <w:iCs/>
                <w:sz w:val="18"/>
                <w:szCs w:val="18"/>
                <w:lang w:val="en-US"/>
              </w:rPr>
              <w:t> </w:t>
            </w:r>
            <w:r w:rsidRPr="002460E2">
              <w:rPr>
                <w:sz w:val="18"/>
                <w:szCs w:val="18"/>
                <w:lang w:val="en-US"/>
              </w:rPr>
              <w:t>și </w:t>
            </w:r>
            <w:r w:rsidRPr="002460E2">
              <w:rPr>
                <w:i/>
                <w:iCs/>
                <w:sz w:val="18"/>
                <w:szCs w:val="18"/>
                <w:lang w:val="en-US"/>
              </w:rPr>
              <w:t>WS</w:t>
            </w:r>
            <w:r w:rsidRPr="002460E2">
              <w:rPr>
                <w:i/>
                <w:iCs/>
                <w:sz w:val="18"/>
                <w:szCs w:val="18"/>
                <w:vertAlign w:val="subscript"/>
                <w:lang w:val="en-US"/>
              </w:rPr>
              <w:t>l</w:t>
            </w:r>
            <w:r w:rsidRPr="002460E2">
              <w:rPr>
                <w:i/>
                <w:iCs/>
                <w:sz w:val="18"/>
                <w:szCs w:val="18"/>
                <w:lang w:val="en-US"/>
              </w:rPr>
              <w:t> </w:t>
            </w:r>
            <w:r w:rsidRPr="002460E2">
              <w:rPr>
                <w:sz w:val="18"/>
                <w:szCs w:val="18"/>
                <w:lang w:val="en-US"/>
              </w:rPr>
              <w:t>, care rezultă din expuneri la risc atribuite benzilor sectoriale 12 și 21, parametrul de corelație </w:t>
            </w:r>
            <w:r w:rsidRPr="002460E2">
              <w:rPr>
                <w:i/>
                <w:iCs/>
                <w:sz w:val="18"/>
                <w:szCs w:val="18"/>
              </w:rPr>
              <w:t>ρ</w:t>
            </w:r>
            <w:r w:rsidRPr="002460E2">
              <w:rPr>
                <w:i/>
                <w:iCs/>
                <w:sz w:val="18"/>
                <w:szCs w:val="18"/>
                <w:vertAlign w:val="subscript"/>
                <w:lang w:val="en-US"/>
              </w:rPr>
              <w:t>kl</w:t>
            </w:r>
            <w:r w:rsidRPr="002460E2">
              <w:rPr>
                <w:i/>
                <w:iCs/>
                <w:sz w:val="18"/>
                <w:szCs w:val="18"/>
                <w:lang w:val="en-US"/>
              </w:rPr>
              <w:t> </w:t>
            </w:r>
            <w:r w:rsidRPr="002460E2">
              <w:rPr>
                <w:sz w:val="18"/>
                <w:szCs w:val="18"/>
                <w:lang w:val="en-US"/>
              </w:rPr>
              <w:t>se stabilește după cum urmează:</w:t>
            </w:r>
          </w:p>
          <w:p w14:paraId="4DA6E572" w14:textId="77777777" w:rsidR="00DE1309" w:rsidRPr="002460E2" w:rsidRDefault="00DE1309" w:rsidP="00DE1309">
            <w:pPr>
              <w:rPr>
                <w:sz w:val="18"/>
                <w:szCs w:val="18"/>
              </w:rPr>
            </w:pPr>
            <w:r w:rsidRPr="002460E2">
              <w:rPr>
                <w:noProof/>
                <w:sz w:val="18"/>
                <w:szCs w:val="18"/>
              </w:rPr>
              <w:drawing>
                <wp:inline distT="0" distB="0" distL="0" distR="0" wp14:anchorId="32578E79" wp14:editId="39EAB62D">
                  <wp:extent cx="2324688" cy="286247"/>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3295" cy="299620"/>
                          </a:xfrm>
                          <a:prstGeom prst="rect">
                            <a:avLst/>
                          </a:prstGeom>
                          <a:noFill/>
                          <a:ln>
                            <a:noFill/>
                          </a:ln>
                        </pic:spPr>
                      </pic:pic>
                    </a:graphicData>
                  </a:graphic>
                </wp:inline>
              </w:drawing>
            </w:r>
          </w:p>
          <w:p w14:paraId="16BD2833" w14:textId="77777777" w:rsidR="00DE1309" w:rsidRPr="002460E2" w:rsidRDefault="00DE1309" w:rsidP="00DE1309">
            <w:pPr>
              <w:rPr>
                <w:sz w:val="18"/>
                <w:szCs w:val="18"/>
              </w:rPr>
            </w:pPr>
            <w:r w:rsidRPr="002460E2">
              <w:rPr>
                <w:sz w:val="18"/>
                <w:szCs w:val="18"/>
              </w:rPr>
              <w:t>unde:</w:t>
            </w:r>
          </w:p>
          <w:tbl>
            <w:tblPr>
              <w:tblW w:w="5309" w:type="dxa"/>
              <w:tblLayout w:type="fixed"/>
              <w:tblCellMar>
                <w:left w:w="0" w:type="dxa"/>
                <w:right w:w="0" w:type="dxa"/>
              </w:tblCellMar>
              <w:tblLook w:val="04A0" w:firstRow="1" w:lastRow="0" w:firstColumn="1" w:lastColumn="0" w:noHBand="0" w:noVBand="1"/>
            </w:tblPr>
            <w:tblGrid>
              <w:gridCol w:w="744"/>
              <w:gridCol w:w="4565"/>
            </w:tblGrid>
            <w:tr w:rsidR="00DE1309" w:rsidRPr="002460E2" w14:paraId="083DDA71" w14:textId="77777777" w:rsidTr="00E36801">
              <w:trPr>
                <w:trHeight w:val="678"/>
              </w:trPr>
              <w:tc>
                <w:tcPr>
                  <w:tcW w:w="744" w:type="dxa"/>
                  <w:shd w:val="clear" w:color="auto" w:fill="auto"/>
                  <w:hideMark/>
                </w:tcPr>
                <w:p w14:paraId="71BBE193" w14:textId="77777777" w:rsidR="00DE1309" w:rsidRPr="002460E2" w:rsidRDefault="00DE1309" w:rsidP="00DE1309">
                  <w:pPr>
                    <w:rPr>
                      <w:sz w:val="18"/>
                      <w:szCs w:val="18"/>
                    </w:rPr>
                  </w:pPr>
                  <w:r w:rsidRPr="002460E2">
                    <w:rPr>
                      <w:noProof/>
                      <w:sz w:val="18"/>
                      <w:szCs w:val="18"/>
                    </w:rPr>
                    <w:drawing>
                      <wp:inline distT="0" distB="0" distL="0" distR="0" wp14:anchorId="29DEAC52" wp14:editId="68A82D6C">
                        <wp:extent cx="490002" cy="190831"/>
                        <wp:effectExtent l="0" t="0" r="5715"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0759" cy="195020"/>
                                </a:xfrm>
                                <a:prstGeom prst="rect">
                                  <a:avLst/>
                                </a:prstGeom>
                                <a:noFill/>
                                <a:ln>
                                  <a:noFill/>
                                </a:ln>
                              </pic:spPr>
                            </pic:pic>
                          </a:graphicData>
                        </a:graphic>
                      </wp:inline>
                    </w:drawing>
                  </w:r>
                </w:p>
              </w:tc>
              <w:tc>
                <w:tcPr>
                  <w:tcW w:w="4565" w:type="dxa"/>
                  <w:shd w:val="clear" w:color="auto" w:fill="auto"/>
                  <w:hideMark/>
                </w:tcPr>
                <w:p w14:paraId="7FE5E1F1" w14:textId="77777777" w:rsidR="00DE1309" w:rsidRPr="002460E2" w:rsidRDefault="00DE1309" w:rsidP="00DE1309">
                  <w:pPr>
                    <w:rPr>
                      <w:sz w:val="18"/>
                      <w:szCs w:val="18"/>
                      <w:lang w:val="en-US"/>
                    </w:rPr>
                  </w:pPr>
                  <w:r w:rsidRPr="002460E2">
                    <w:rPr>
                      <w:sz w:val="18"/>
                      <w:szCs w:val="18"/>
                      <w:lang w:val="en-US"/>
                    </w:rPr>
                    <w:t xml:space="preserve">este egal cu 1 atunci când cele două puncte ale </w:t>
                  </w:r>
                </w:p>
                <w:p w14:paraId="49B2FB5F" w14:textId="77777777" w:rsidR="00DE1309" w:rsidRPr="002460E2" w:rsidRDefault="00DE1309" w:rsidP="00DE1309">
                  <w:pPr>
                    <w:rPr>
                      <w:sz w:val="18"/>
                      <w:szCs w:val="18"/>
                      <w:lang w:val="en-US"/>
                    </w:rPr>
                  </w:pPr>
                  <w:r w:rsidRPr="002460E2">
                    <w:rPr>
                      <w:sz w:val="18"/>
                      <w:szCs w:val="18"/>
                      <w:lang w:val="en-US"/>
                    </w:rPr>
                    <w:t xml:space="preserve">sensibilităților k și l sunt identice, iar în caz </w:t>
                  </w:r>
                </w:p>
                <w:p w14:paraId="4FC9B552" w14:textId="3119E6AB" w:rsidR="00DE1309" w:rsidRPr="002460E2" w:rsidRDefault="00DE1309" w:rsidP="00DE1309">
                  <w:pPr>
                    <w:rPr>
                      <w:sz w:val="18"/>
                      <w:szCs w:val="18"/>
                      <w:lang w:val="en-US"/>
                    </w:rPr>
                  </w:pPr>
                  <w:r w:rsidRPr="002460E2">
                    <w:rPr>
                      <w:sz w:val="18"/>
                      <w:szCs w:val="18"/>
                      <w:lang w:val="en-US"/>
                    </w:rPr>
                    <w:t>contrar este egal cu 90 %;</w:t>
                  </w:r>
                </w:p>
              </w:tc>
            </w:tr>
          </w:tbl>
          <w:p w14:paraId="47F1D7C0" w14:textId="77777777" w:rsidR="00DE1309" w:rsidRPr="002460E2" w:rsidRDefault="00DE1309" w:rsidP="00DE1309">
            <w:pPr>
              <w:rPr>
                <w:vanish/>
                <w:sz w:val="18"/>
                <w:szCs w:val="18"/>
              </w:rPr>
            </w:pPr>
          </w:p>
          <w:tbl>
            <w:tblPr>
              <w:tblW w:w="5859" w:type="dxa"/>
              <w:tblLayout w:type="fixed"/>
              <w:tblCellMar>
                <w:left w:w="0" w:type="dxa"/>
                <w:right w:w="0" w:type="dxa"/>
              </w:tblCellMar>
              <w:tblLook w:val="04A0" w:firstRow="1" w:lastRow="0" w:firstColumn="1" w:lastColumn="0" w:noHBand="0" w:noVBand="1"/>
            </w:tblPr>
            <w:tblGrid>
              <w:gridCol w:w="691"/>
              <w:gridCol w:w="5168"/>
            </w:tblGrid>
            <w:tr w:rsidR="00DE1309" w:rsidRPr="002460E2" w14:paraId="390652F5" w14:textId="77777777" w:rsidTr="005D0749">
              <w:trPr>
                <w:trHeight w:val="1053"/>
              </w:trPr>
              <w:tc>
                <w:tcPr>
                  <w:tcW w:w="691" w:type="dxa"/>
                  <w:shd w:val="clear" w:color="auto" w:fill="auto"/>
                  <w:hideMark/>
                </w:tcPr>
                <w:p w14:paraId="23EEAB28" w14:textId="77777777" w:rsidR="00DE1309" w:rsidRPr="002460E2" w:rsidRDefault="00DE1309" w:rsidP="00DE1309">
                  <w:pPr>
                    <w:rPr>
                      <w:sz w:val="18"/>
                      <w:szCs w:val="18"/>
                    </w:rPr>
                  </w:pPr>
                  <w:r w:rsidRPr="002460E2">
                    <w:rPr>
                      <w:noProof/>
                      <w:sz w:val="18"/>
                      <w:szCs w:val="18"/>
                    </w:rPr>
                    <w:lastRenderedPageBreak/>
                    <w:drawing>
                      <wp:inline distT="0" distB="0" distL="0" distR="0" wp14:anchorId="4580A9B9" wp14:editId="453DA322">
                        <wp:extent cx="464391" cy="246491"/>
                        <wp:effectExtent l="0" t="0" r="0" b="127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5950" cy="247318"/>
                                </a:xfrm>
                                <a:prstGeom prst="rect">
                                  <a:avLst/>
                                </a:prstGeom>
                                <a:noFill/>
                                <a:ln>
                                  <a:noFill/>
                                </a:ln>
                              </pic:spPr>
                            </pic:pic>
                          </a:graphicData>
                        </a:graphic>
                      </wp:inline>
                    </w:drawing>
                  </w:r>
                </w:p>
              </w:tc>
              <w:tc>
                <w:tcPr>
                  <w:tcW w:w="5168" w:type="dxa"/>
                  <w:shd w:val="clear" w:color="auto" w:fill="auto"/>
                  <w:hideMark/>
                </w:tcPr>
                <w:p w14:paraId="3FDADC8F" w14:textId="77777777" w:rsidR="00DE1309" w:rsidRPr="002460E2" w:rsidRDefault="00DE1309" w:rsidP="00DE1309">
                  <w:pPr>
                    <w:rPr>
                      <w:sz w:val="18"/>
                      <w:szCs w:val="18"/>
                      <w:lang w:val="en-US"/>
                    </w:rPr>
                  </w:pPr>
                  <w:r w:rsidRPr="002460E2">
                    <w:rPr>
                      <w:sz w:val="18"/>
                      <w:szCs w:val="18"/>
                      <w:lang w:val="en-US"/>
                    </w:rPr>
                    <w:t xml:space="preserve">este egal cu 1 atunci când cele două nume ale </w:t>
                  </w:r>
                </w:p>
                <w:p w14:paraId="6837E061" w14:textId="77777777" w:rsidR="00DE1309" w:rsidRPr="002460E2" w:rsidRDefault="00DE1309" w:rsidP="00DE1309">
                  <w:pPr>
                    <w:rPr>
                      <w:sz w:val="18"/>
                      <w:szCs w:val="18"/>
                      <w:lang w:val="en-US"/>
                    </w:rPr>
                  </w:pPr>
                  <w:r w:rsidRPr="002460E2">
                    <w:rPr>
                      <w:sz w:val="18"/>
                      <w:szCs w:val="18"/>
                      <w:lang w:val="en-US"/>
                    </w:rPr>
                    <w:t xml:space="preserve">sensibilităților k și l sunt identice și cei doi </w:t>
                  </w:r>
                </w:p>
                <w:p w14:paraId="3E406AE5" w14:textId="77777777" w:rsidR="00DE1309" w:rsidRPr="002460E2" w:rsidRDefault="00DE1309" w:rsidP="00DE1309">
                  <w:pPr>
                    <w:rPr>
                      <w:sz w:val="18"/>
                      <w:szCs w:val="18"/>
                      <w:lang w:val="en-US"/>
                    </w:rPr>
                  </w:pPr>
                  <w:r w:rsidRPr="002460E2">
                    <w:rPr>
                      <w:sz w:val="18"/>
                      <w:szCs w:val="18"/>
                      <w:lang w:val="en-US"/>
                    </w:rPr>
                    <w:t xml:space="preserve">indici fac parte din aceeași serie, 90 % dacă cei </w:t>
                  </w:r>
                </w:p>
                <w:p w14:paraId="020B8AB3" w14:textId="77777777" w:rsidR="00DE1309" w:rsidRPr="002460E2" w:rsidRDefault="00DE1309" w:rsidP="00DE1309">
                  <w:pPr>
                    <w:rPr>
                      <w:sz w:val="18"/>
                      <w:szCs w:val="18"/>
                      <w:lang w:val="en-US"/>
                    </w:rPr>
                  </w:pPr>
                  <w:r w:rsidRPr="002460E2">
                    <w:rPr>
                      <w:sz w:val="18"/>
                      <w:szCs w:val="18"/>
                      <w:lang w:val="en-US"/>
                    </w:rPr>
                    <w:t xml:space="preserve">doi indici sunt aceiași, dar din serii diferite, iar </w:t>
                  </w:r>
                </w:p>
                <w:p w14:paraId="1628DF2C" w14:textId="4851B7F8" w:rsidR="00DE1309" w:rsidRPr="002460E2" w:rsidRDefault="00DE1309" w:rsidP="00DE1309">
                  <w:pPr>
                    <w:rPr>
                      <w:sz w:val="18"/>
                      <w:szCs w:val="18"/>
                      <w:lang w:val="en-US"/>
                    </w:rPr>
                  </w:pPr>
                  <w:r w:rsidRPr="002460E2">
                    <w:rPr>
                      <w:sz w:val="18"/>
                      <w:szCs w:val="18"/>
                      <w:lang w:val="en-US"/>
                    </w:rPr>
                    <w:t>în caz contrar este egal cu 80 %;</w:t>
                  </w:r>
                </w:p>
              </w:tc>
            </w:tr>
          </w:tbl>
          <w:p w14:paraId="42A94EC8" w14:textId="77777777" w:rsidR="00DE1309" w:rsidRPr="002460E2" w:rsidRDefault="00DE1309" w:rsidP="00DE1309">
            <w:pPr>
              <w:rPr>
                <w:vanish/>
                <w:sz w:val="18"/>
                <w:szCs w:val="18"/>
              </w:rPr>
            </w:pPr>
          </w:p>
          <w:tbl>
            <w:tblPr>
              <w:tblW w:w="4931" w:type="dxa"/>
              <w:tblLayout w:type="fixed"/>
              <w:tblCellMar>
                <w:left w:w="0" w:type="dxa"/>
                <w:right w:w="0" w:type="dxa"/>
              </w:tblCellMar>
              <w:tblLook w:val="04A0" w:firstRow="1" w:lastRow="0" w:firstColumn="1" w:lastColumn="0" w:noHBand="0" w:noVBand="1"/>
            </w:tblPr>
            <w:tblGrid>
              <w:gridCol w:w="659"/>
              <w:gridCol w:w="4272"/>
            </w:tblGrid>
            <w:tr w:rsidR="00DE1309" w:rsidRPr="002460E2" w14:paraId="5F7E512C" w14:textId="77777777" w:rsidTr="005D0749">
              <w:trPr>
                <w:trHeight w:val="945"/>
              </w:trPr>
              <w:tc>
                <w:tcPr>
                  <w:tcW w:w="659" w:type="dxa"/>
                  <w:shd w:val="clear" w:color="auto" w:fill="auto"/>
                  <w:hideMark/>
                </w:tcPr>
                <w:p w14:paraId="744016F6" w14:textId="77777777" w:rsidR="00DE1309" w:rsidRPr="002460E2" w:rsidRDefault="00DE1309" w:rsidP="00DE1309">
                  <w:pPr>
                    <w:rPr>
                      <w:sz w:val="18"/>
                      <w:szCs w:val="18"/>
                    </w:rPr>
                  </w:pPr>
                  <w:r w:rsidRPr="002460E2">
                    <w:rPr>
                      <w:noProof/>
                      <w:sz w:val="18"/>
                      <w:szCs w:val="18"/>
                    </w:rPr>
                    <w:drawing>
                      <wp:inline distT="0" distB="0" distL="0" distR="0" wp14:anchorId="24CC5182" wp14:editId="11996829">
                        <wp:extent cx="409836" cy="190832"/>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9937" cy="195535"/>
                                </a:xfrm>
                                <a:prstGeom prst="rect">
                                  <a:avLst/>
                                </a:prstGeom>
                                <a:noFill/>
                                <a:ln>
                                  <a:noFill/>
                                </a:ln>
                              </pic:spPr>
                            </pic:pic>
                          </a:graphicData>
                        </a:graphic>
                      </wp:inline>
                    </w:drawing>
                  </w:r>
                </w:p>
              </w:tc>
              <w:tc>
                <w:tcPr>
                  <w:tcW w:w="4272" w:type="dxa"/>
                  <w:shd w:val="clear" w:color="auto" w:fill="auto"/>
                  <w:hideMark/>
                </w:tcPr>
                <w:p w14:paraId="3BE617F2" w14:textId="77777777" w:rsidR="00DE1309" w:rsidRPr="002460E2" w:rsidRDefault="00DE1309" w:rsidP="00DE1309">
                  <w:pPr>
                    <w:rPr>
                      <w:sz w:val="18"/>
                      <w:szCs w:val="18"/>
                      <w:lang w:val="en-US"/>
                    </w:rPr>
                  </w:pPr>
                  <w:r w:rsidRPr="002460E2">
                    <w:rPr>
                      <w:sz w:val="18"/>
                      <w:szCs w:val="18"/>
                      <w:lang w:val="en-US"/>
                    </w:rPr>
                    <w:t xml:space="preserve">este egal cu 1 atunci când cele două nume sunt </w:t>
                  </w:r>
                </w:p>
                <w:p w14:paraId="56A1ADE5" w14:textId="77777777" w:rsidR="00DE1309" w:rsidRPr="002460E2" w:rsidRDefault="00DE1309" w:rsidP="00DE1309">
                  <w:pPr>
                    <w:rPr>
                      <w:sz w:val="18"/>
                      <w:szCs w:val="18"/>
                      <w:lang w:val="en-US"/>
                    </w:rPr>
                  </w:pPr>
                  <w:r w:rsidRPr="002460E2">
                    <w:rPr>
                      <w:sz w:val="18"/>
                      <w:szCs w:val="18"/>
                      <w:lang w:val="en-US"/>
                    </w:rPr>
                    <w:t xml:space="preserve">ambele în banda 12 sau ambele în banda 21, iar </w:t>
                  </w:r>
                </w:p>
                <w:p w14:paraId="59BDC012" w14:textId="05317D54" w:rsidR="00DE1309" w:rsidRPr="002460E2" w:rsidRDefault="00DE1309" w:rsidP="00DE1309">
                  <w:pPr>
                    <w:rPr>
                      <w:sz w:val="18"/>
                      <w:szCs w:val="18"/>
                      <w:lang w:val="en-US"/>
                    </w:rPr>
                  </w:pPr>
                  <w:r w:rsidRPr="002460E2">
                    <w:rPr>
                      <w:sz w:val="18"/>
                      <w:szCs w:val="18"/>
                      <w:lang w:val="en-US"/>
                    </w:rPr>
                    <w:t>în caz contrar este egal cu 80 %.</w:t>
                  </w:r>
                </w:p>
              </w:tc>
            </w:tr>
          </w:tbl>
          <w:p w14:paraId="1387948D" w14:textId="77777777" w:rsidR="00DE1309" w:rsidRPr="002460E2" w:rsidRDefault="00DE1309" w:rsidP="00DE1309">
            <w:pPr>
              <w:rPr>
                <w:sz w:val="18"/>
                <w:szCs w:val="18"/>
                <w:lang w:val="en-US"/>
              </w:rPr>
            </w:pPr>
          </w:p>
        </w:tc>
        <w:tc>
          <w:tcPr>
            <w:tcW w:w="3685" w:type="dxa"/>
            <w:shd w:val="clear" w:color="auto" w:fill="auto"/>
          </w:tcPr>
          <w:p w14:paraId="4307C71A" w14:textId="11F71F1E" w:rsidR="00DE1309" w:rsidRPr="002460E2" w:rsidRDefault="00586FEF" w:rsidP="00586FEF">
            <w:pPr>
              <w:tabs>
                <w:tab w:val="left" w:pos="456"/>
              </w:tabs>
              <w:rPr>
                <w:bCs/>
                <w:sz w:val="18"/>
                <w:szCs w:val="18"/>
                <w:lang w:val="ro-MD" w:eastAsia="en-US"/>
              </w:rPr>
            </w:pPr>
            <w:r w:rsidRPr="002460E2">
              <w:rPr>
                <w:sz w:val="18"/>
                <w:szCs w:val="18"/>
                <w:lang w:val="ro-MD" w:eastAsia="en-US"/>
              </w:rPr>
              <w:lastRenderedPageBreak/>
              <w:t>91</w:t>
            </w:r>
            <w:r w:rsidR="00DE1309" w:rsidRPr="002460E2">
              <w:rPr>
                <w:sz w:val="18"/>
                <w:szCs w:val="18"/>
                <w:lang w:val="ro-MD" w:eastAsia="en-US"/>
              </w:rPr>
              <w:t>.</w:t>
            </w:r>
            <w:r w:rsidR="00DE1309" w:rsidRPr="002460E2">
              <w:rPr>
                <w:bCs/>
                <w:sz w:val="18"/>
                <w:szCs w:val="18"/>
                <w:lang w:val="ro-MD" w:eastAsia="en-US"/>
              </w:rPr>
              <w:t xml:space="preserve"> Între două sensibilități WS</w:t>
            </w:r>
            <w:r w:rsidR="00DE1309" w:rsidRPr="002460E2">
              <w:rPr>
                <w:bCs/>
                <w:sz w:val="18"/>
                <w:szCs w:val="18"/>
                <w:vertAlign w:val="subscript"/>
                <w:lang w:val="ro-MD" w:eastAsia="en-US"/>
              </w:rPr>
              <w:t>k</w:t>
            </w:r>
            <w:r w:rsidR="00DE1309" w:rsidRPr="002460E2">
              <w:rPr>
                <w:bCs/>
                <w:sz w:val="18"/>
                <w:szCs w:val="18"/>
                <w:lang w:val="ro-MD" w:eastAsia="en-US"/>
              </w:rPr>
              <w:t> și WS</w:t>
            </w:r>
            <w:r w:rsidR="00DE1309" w:rsidRPr="002460E2">
              <w:rPr>
                <w:bCs/>
                <w:sz w:val="18"/>
                <w:szCs w:val="18"/>
                <w:vertAlign w:val="subscript"/>
                <w:lang w:val="ro-MD" w:eastAsia="en-US"/>
              </w:rPr>
              <w:t>l</w:t>
            </w:r>
            <w:r w:rsidR="00DE1309" w:rsidRPr="002460E2">
              <w:rPr>
                <w:bCs/>
                <w:sz w:val="18"/>
                <w:szCs w:val="18"/>
                <w:lang w:val="ro-MD" w:eastAsia="en-US"/>
              </w:rPr>
              <w:t> , care rezultă din expuneri la risc atribuite benzilor sectoriale 12 și 21, parametrul de corelație ρ</w:t>
            </w:r>
            <w:r w:rsidR="00DE1309" w:rsidRPr="002460E2">
              <w:rPr>
                <w:bCs/>
                <w:sz w:val="18"/>
                <w:szCs w:val="18"/>
                <w:vertAlign w:val="subscript"/>
                <w:lang w:val="ro-MD" w:eastAsia="en-US"/>
              </w:rPr>
              <w:t>kl</w:t>
            </w:r>
            <w:r w:rsidR="00DE1309" w:rsidRPr="002460E2">
              <w:rPr>
                <w:bCs/>
                <w:sz w:val="18"/>
                <w:szCs w:val="18"/>
                <w:lang w:val="ro-MD" w:eastAsia="en-US"/>
              </w:rPr>
              <w:t> se stabilește după cum urmează:</w:t>
            </w:r>
          </w:p>
          <w:p w14:paraId="1C6DF9F4" w14:textId="77777777" w:rsidR="00DE1309" w:rsidRPr="002460E2" w:rsidRDefault="00DE1309" w:rsidP="00DE1309">
            <w:pPr>
              <w:tabs>
                <w:tab w:val="left" w:pos="456"/>
              </w:tabs>
              <w:jc w:val="center"/>
              <w:rPr>
                <w:bCs/>
                <w:sz w:val="18"/>
                <w:szCs w:val="18"/>
                <w:lang w:val="ro-MD" w:eastAsia="en-US"/>
              </w:rPr>
            </w:pPr>
            <w:r w:rsidRPr="002460E2">
              <w:rPr>
                <w:bCs/>
                <w:noProof/>
                <w:sz w:val="18"/>
                <w:szCs w:val="18"/>
                <w:lang w:val="ro-MD" w:eastAsia="en-US"/>
              </w:rPr>
              <w:drawing>
                <wp:inline distT="0" distB="0" distL="0" distR="0" wp14:anchorId="08976A37" wp14:editId="5CACF824">
                  <wp:extent cx="1896023" cy="233464"/>
                  <wp:effectExtent l="0" t="0" r="0" b="0"/>
                  <wp:docPr id="139" name="Pictur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38077" cy="238642"/>
                          </a:xfrm>
                          <a:prstGeom prst="rect">
                            <a:avLst/>
                          </a:prstGeom>
                          <a:noFill/>
                          <a:ln>
                            <a:noFill/>
                          </a:ln>
                        </pic:spPr>
                      </pic:pic>
                    </a:graphicData>
                  </a:graphic>
                </wp:inline>
              </w:drawing>
            </w:r>
          </w:p>
          <w:p w14:paraId="421AC062" w14:textId="77777777" w:rsidR="00DE1309" w:rsidRPr="002460E2" w:rsidRDefault="00DE1309" w:rsidP="00DE1309">
            <w:pPr>
              <w:tabs>
                <w:tab w:val="left" w:pos="456"/>
              </w:tabs>
              <w:jc w:val="center"/>
              <w:rPr>
                <w:bCs/>
                <w:sz w:val="18"/>
                <w:szCs w:val="18"/>
                <w:lang w:val="ro-MD" w:eastAsia="en-US"/>
              </w:rPr>
            </w:pPr>
            <w:r w:rsidRPr="002460E2">
              <w:rPr>
                <w:bCs/>
                <w:sz w:val="18"/>
                <w:szCs w:val="18"/>
                <w:lang w:val="ro-MD" w:eastAsia="en-US"/>
              </w:rPr>
              <w:t>unde:</w:t>
            </w:r>
          </w:p>
          <w:tbl>
            <w:tblPr>
              <w:tblW w:w="3372" w:type="dxa"/>
              <w:tblLayout w:type="fixed"/>
              <w:tblCellMar>
                <w:left w:w="0" w:type="dxa"/>
                <w:right w:w="0" w:type="dxa"/>
              </w:tblCellMar>
              <w:tblLook w:val="04A0" w:firstRow="1" w:lastRow="0" w:firstColumn="1" w:lastColumn="0" w:noHBand="0" w:noVBand="1"/>
            </w:tblPr>
            <w:tblGrid>
              <w:gridCol w:w="645"/>
              <w:gridCol w:w="2727"/>
            </w:tblGrid>
            <w:tr w:rsidR="00DE1309" w:rsidRPr="002460E2" w14:paraId="3CF6ACDB" w14:textId="77777777" w:rsidTr="00D44481">
              <w:trPr>
                <w:trHeight w:val="611"/>
              </w:trPr>
              <w:tc>
                <w:tcPr>
                  <w:tcW w:w="645" w:type="dxa"/>
                  <w:shd w:val="clear" w:color="auto" w:fill="auto"/>
                  <w:hideMark/>
                </w:tcPr>
                <w:p w14:paraId="17535907" w14:textId="77777777" w:rsidR="00DE1309" w:rsidRPr="002460E2" w:rsidRDefault="00DE1309" w:rsidP="00DE1309">
                  <w:pPr>
                    <w:tabs>
                      <w:tab w:val="left" w:pos="456"/>
                    </w:tabs>
                    <w:jc w:val="center"/>
                    <w:rPr>
                      <w:bCs/>
                      <w:sz w:val="18"/>
                      <w:szCs w:val="18"/>
                      <w:lang w:val="ro-MD" w:eastAsia="en-US"/>
                    </w:rPr>
                  </w:pPr>
                  <w:r w:rsidRPr="002460E2">
                    <w:rPr>
                      <w:bCs/>
                      <w:noProof/>
                      <w:sz w:val="18"/>
                      <w:szCs w:val="18"/>
                      <w:lang w:val="ro-MD" w:eastAsia="en-US"/>
                    </w:rPr>
                    <w:drawing>
                      <wp:inline distT="0" distB="0" distL="0" distR="0" wp14:anchorId="2AC6CB23" wp14:editId="44A27910">
                        <wp:extent cx="374671" cy="145915"/>
                        <wp:effectExtent l="0" t="0" r="6350" b="6985"/>
                        <wp:docPr id="140" name="Pictur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8038" cy="155015"/>
                                </a:xfrm>
                                <a:prstGeom prst="rect">
                                  <a:avLst/>
                                </a:prstGeom>
                                <a:noFill/>
                                <a:ln>
                                  <a:noFill/>
                                </a:ln>
                              </pic:spPr>
                            </pic:pic>
                          </a:graphicData>
                        </a:graphic>
                      </wp:inline>
                    </w:drawing>
                  </w:r>
                </w:p>
              </w:tc>
              <w:tc>
                <w:tcPr>
                  <w:tcW w:w="2727" w:type="dxa"/>
                  <w:shd w:val="clear" w:color="auto" w:fill="auto"/>
                  <w:hideMark/>
                </w:tcPr>
                <w:p w14:paraId="738B2AD2" w14:textId="77777777" w:rsidR="00DE1309" w:rsidRPr="002460E2" w:rsidRDefault="00DE1309" w:rsidP="00586FEF">
                  <w:pPr>
                    <w:tabs>
                      <w:tab w:val="left" w:pos="456"/>
                    </w:tabs>
                    <w:rPr>
                      <w:bCs/>
                      <w:sz w:val="18"/>
                      <w:szCs w:val="18"/>
                      <w:lang w:val="ro-MD" w:eastAsia="en-US"/>
                    </w:rPr>
                  </w:pPr>
                  <w:r w:rsidRPr="002460E2">
                    <w:rPr>
                      <w:bCs/>
                      <w:sz w:val="18"/>
                      <w:szCs w:val="18"/>
                      <w:lang w:val="ro-MD" w:eastAsia="en-US"/>
                    </w:rPr>
                    <w:t>este egal cu 1 atunci când cele două puncte ale sensibilităților k și l sunt identice, iar în caz contrar este egal cu 90 %;</w:t>
                  </w:r>
                </w:p>
              </w:tc>
            </w:tr>
          </w:tbl>
          <w:p w14:paraId="5E521D0E" w14:textId="77777777" w:rsidR="00DE1309" w:rsidRPr="002460E2" w:rsidRDefault="00DE1309" w:rsidP="00DE1309">
            <w:pPr>
              <w:tabs>
                <w:tab w:val="left" w:pos="456"/>
              </w:tabs>
              <w:jc w:val="center"/>
              <w:rPr>
                <w:bCs/>
                <w:vanish/>
                <w:sz w:val="18"/>
                <w:szCs w:val="18"/>
                <w:lang w:val="ro-MD" w:eastAsia="en-US"/>
              </w:rPr>
            </w:pPr>
          </w:p>
          <w:tbl>
            <w:tblPr>
              <w:tblW w:w="4741" w:type="pct"/>
              <w:tblLayout w:type="fixed"/>
              <w:tblCellMar>
                <w:left w:w="0" w:type="dxa"/>
                <w:right w:w="0" w:type="dxa"/>
              </w:tblCellMar>
              <w:tblLook w:val="04A0" w:firstRow="1" w:lastRow="0" w:firstColumn="1" w:lastColumn="0" w:noHBand="0" w:noVBand="1"/>
            </w:tblPr>
            <w:tblGrid>
              <w:gridCol w:w="304"/>
              <w:gridCol w:w="2985"/>
            </w:tblGrid>
            <w:tr w:rsidR="00DE1309" w:rsidRPr="002460E2" w14:paraId="567E749C" w14:textId="77777777" w:rsidTr="00D44481">
              <w:tc>
                <w:tcPr>
                  <w:tcW w:w="304" w:type="dxa"/>
                  <w:shd w:val="clear" w:color="auto" w:fill="auto"/>
                  <w:hideMark/>
                </w:tcPr>
                <w:p w14:paraId="0F319794" w14:textId="77777777" w:rsidR="00DE1309" w:rsidRPr="002460E2" w:rsidRDefault="00DE1309" w:rsidP="00DE1309">
                  <w:pPr>
                    <w:tabs>
                      <w:tab w:val="left" w:pos="456"/>
                    </w:tabs>
                    <w:jc w:val="center"/>
                    <w:rPr>
                      <w:bCs/>
                      <w:sz w:val="18"/>
                      <w:szCs w:val="18"/>
                      <w:lang w:val="ro-MD" w:eastAsia="en-US"/>
                    </w:rPr>
                  </w:pPr>
                  <w:r w:rsidRPr="002460E2">
                    <w:rPr>
                      <w:bCs/>
                      <w:noProof/>
                      <w:sz w:val="18"/>
                      <w:szCs w:val="18"/>
                      <w:lang w:val="ro-MD" w:eastAsia="en-US"/>
                    </w:rPr>
                    <w:lastRenderedPageBreak/>
                    <w:drawing>
                      <wp:inline distT="0" distB="0" distL="0" distR="0" wp14:anchorId="6AF7C545" wp14:editId="0EE43EEB">
                        <wp:extent cx="293231" cy="155642"/>
                        <wp:effectExtent l="0" t="0" r="0" b="0"/>
                        <wp:docPr id="141" name="Pictur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3630" cy="166469"/>
                                </a:xfrm>
                                <a:prstGeom prst="rect">
                                  <a:avLst/>
                                </a:prstGeom>
                                <a:noFill/>
                                <a:ln>
                                  <a:noFill/>
                                </a:ln>
                              </pic:spPr>
                            </pic:pic>
                          </a:graphicData>
                        </a:graphic>
                      </wp:inline>
                    </w:drawing>
                  </w:r>
                </w:p>
              </w:tc>
              <w:tc>
                <w:tcPr>
                  <w:tcW w:w="2985" w:type="dxa"/>
                  <w:shd w:val="clear" w:color="auto" w:fill="auto"/>
                  <w:hideMark/>
                </w:tcPr>
                <w:p w14:paraId="7C90B50B" w14:textId="77777777" w:rsidR="00DE1309" w:rsidRPr="002460E2" w:rsidRDefault="00DE1309" w:rsidP="00586FEF">
                  <w:pPr>
                    <w:tabs>
                      <w:tab w:val="left" w:pos="456"/>
                    </w:tabs>
                    <w:ind w:left="290"/>
                    <w:rPr>
                      <w:bCs/>
                      <w:sz w:val="18"/>
                      <w:szCs w:val="18"/>
                      <w:lang w:val="ro-MD" w:eastAsia="en-US"/>
                    </w:rPr>
                  </w:pPr>
                  <w:r w:rsidRPr="002460E2">
                    <w:rPr>
                      <w:bCs/>
                      <w:sz w:val="18"/>
                      <w:szCs w:val="18"/>
                      <w:lang w:val="ro-MD" w:eastAsia="en-US"/>
                    </w:rPr>
                    <w:t>este egal cu 1 atunci când cele două nume ale sensibilităților k și l sunt identice și cei doi indici fac parte din aceeași serie, 90 % dacă cei doi indici sunt aceiași, dar din serii diferite, iar în caz contrar este egal cu 80 %;</w:t>
                  </w:r>
                </w:p>
              </w:tc>
            </w:tr>
          </w:tbl>
          <w:p w14:paraId="4C4C6A33" w14:textId="77777777" w:rsidR="00DE1309" w:rsidRPr="002460E2" w:rsidRDefault="00DE1309" w:rsidP="00DE1309">
            <w:pPr>
              <w:tabs>
                <w:tab w:val="left" w:pos="456"/>
              </w:tabs>
              <w:jc w:val="center"/>
              <w:rPr>
                <w:bCs/>
                <w:i/>
                <w:iCs/>
                <w:vanish/>
                <w:sz w:val="18"/>
                <w:szCs w:val="18"/>
                <w:lang w:val="ro-MD" w:eastAsia="en-US"/>
              </w:rPr>
            </w:pPr>
          </w:p>
          <w:tbl>
            <w:tblPr>
              <w:tblW w:w="5000" w:type="pct"/>
              <w:tblLayout w:type="fixed"/>
              <w:tblCellMar>
                <w:left w:w="0" w:type="dxa"/>
                <w:right w:w="0" w:type="dxa"/>
              </w:tblCellMar>
              <w:tblLook w:val="04A0" w:firstRow="1" w:lastRow="0" w:firstColumn="1" w:lastColumn="0" w:noHBand="0" w:noVBand="1"/>
            </w:tblPr>
            <w:tblGrid>
              <w:gridCol w:w="336"/>
              <w:gridCol w:w="3133"/>
            </w:tblGrid>
            <w:tr w:rsidR="00DE1309" w:rsidRPr="002460E2" w14:paraId="09FB4BCB" w14:textId="77777777" w:rsidTr="003245BF">
              <w:tc>
                <w:tcPr>
                  <w:tcW w:w="910" w:type="dxa"/>
                  <w:shd w:val="clear" w:color="auto" w:fill="auto"/>
                  <w:hideMark/>
                </w:tcPr>
                <w:p w14:paraId="2A930517" w14:textId="77777777" w:rsidR="00DE1309" w:rsidRPr="002460E2" w:rsidRDefault="00DE1309" w:rsidP="00DE1309">
                  <w:pPr>
                    <w:tabs>
                      <w:tab w:val="left" w:pos="456"/>
                    </w:tabs>
                    <w:jc w:val="center"/>
                    <w:rPr>
                      <w:bCs/>
                      <w:sz w:val="18"/>
                      <w:szCs w:val="18"/>
                      <w:lang w:val="ro-MD" w:eastAsia="en-US"/>
                    </w:rPr>
                  </w:pPr>
                  <w:r w:rsidRPr="002460E2">
                    <w:rPr>
                      <w:bCs/>
                      <w:noProof/>
                      <w:sz w:val="18"/>
                      <w:szCs w:val="18"/>
                      <w:lang w:val="ro-MD" w:eastAsia="en-US"/>
                    </w:rPr>
                    <w:drawing>
                      <wp:inline distT="0" distB="0" distL="0" distR="0" wp14:anchorId="4BBEA4AD" wp14:editId="0F0CFC44">
                        <wp:extent cx="313373" cy="145915"/>
                        <wp:effectExtent l="0" t="0" r="0" b="6985"/>
                        <wp:docPr id="142" name="Pictur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1115" cy="158832"/>
                                </a:xfrm>
                                <a:prstGeom prst="rect">
                                  <a:avLst/>
                                </a:prstGeom>
                                <a:noFill/>
                                <a:ln>
                                  <a:noFill/>
                                </a:ln>
                              </pic:spPr>
                            </pic:pic>
                          </a:graphicData>
                        </a:graphic>
                      </wp:inline>
                    </w:drawing>
                  </w:r>
                </w:p>
              </w:tc>
              <w:tc>
                <w:tcPr>
                  <w:tcW w:w="8778" w:type="dxa"/>
                  <w:shd w:val="clear" w:color="auto" w:fill="auto"/>
                  <w:hideMark/>
                </w:tcPr>
                <w:p w14:paraId="6536FFAC" w14:textId="77777777" w:rsidR="00DE1309" w:rsidRPr="002460E2" w:rsidRDefault="00DE1309" w:rsidP="00586FEF">
                  <w:pPr>
                    <w:tabs>
                      <w:tab w:val="left" w:pos="456"/>
                    </w:tabs>
                    <w:rPr>
                      <w:bCs/>
                      <w:sz w:val="18"/>
                      <w:szCs w:val="18"/>
                      <w:lang w:val="ro-MD" w:eastAsia="en-US"/>
                    </w:rPr>
                  </w:pPr>
                  <w:r w:rsidRPr="002460E2">
                    <w:rPr>
                      <w:bCs/>
                      <w:sz w:val="18"/>
                      <w:szCs w:val="18"/>
                      <w:lang w:val="ro-MD" w:eastAsia="en-US"/>
                    </w:rPr>
                    <w:t>este egal cu 1 atunci când cele două nume sunt ambele în banda 12 sau ambele în banda 21, iar în caz contrar este egal cu 80 %.</w:t>
                  </w:r>
                </w:p>
              </w:tc>
            </w:tr>
          </w:tbl>
          <w:p w14:paraId="535A994C" w14:textId="77777777" w:rsidR="00DE1309" w:rsidRPr="002460E2" w:rsidRDefault="00DE1309" w:rsidP="00DE1309">
            <w:pPr>
              <w:jc w:val="center"/>
              <w:rPr>
                <w:bCs/>
                <w:i/>
                <w:iCs/>
                <w:sz w:val="18"/>
                <w:szCs w:val="18"/>
                <w:lang w:val="en-US" w:eastAsia="en-US"/>
              </w:rPr>
            </w:pPr>
          </w:p>
        </w:tc>
        <w:tc>
          <w:tcPr>
            <w:tcW w:w="1229" w:type="dxa"/>
          </w:tcPr>
          <w:p w14:paraId="55B7DBAA" w14:textId="10BF75B0"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0972E78C" w14:textId="77777777" w:rsidR="00DE1309" w:rsidRPr="002460E2" w:rsidRDefault="00DE1309" w:rsidP="00DE1309">
            <w:pPr>
              <w:jc w:val="both"/>
              <w:rPr>
                <w:sz w:val="18"/>
                <w:szCs w:val="18"/>
                <w:lang w:val="ro-MD"/>
              </w:rPr>
            </w:pPr>
          </w:p>
        </w:tc>
      </w:tr>
      <w:tr w:rsidR="00DE1309" w:rsidRPr="002460E2" w14:paraId="0BC27031" w14:textId="77777777" w:rsidTr="003F5B3C">
        <w:trPr>
          <w:trHeight w:val="918"/>
        </w:trPr>
        <w:tc>
          <w:tcPr>
            <w:tcW w:w="4253" w:type="dxa"/>
          </w:tcPr>
          <w:p w14:paraId="69B55747" w14:textId="77777777" w:rsidR="00DE1309" w:rsidRPr="002460E2" w:rsidRDefault="00DE1309" w:rsidP="00DE1309">
            <w:pPr>
              <w:rPr>
                <w:i/>
                <w:iCs/>
                <w:sz w:val="18"/>
                <w:szCs w:val="18"/>
                <w:lang w:val="en-US"/>
              </w:rPr>
            </w:pPr>
            <w:r w:rsidRPr="002460E2">
              <w:rPr>
                <w:i/>
                <w:iCs/>
                <w:sz w:val="18"/>
                <w:szCs w:val="18"/>
                <w:lang w:val="en-US"/>
              </w:rPr>
              <w:t>Articolul 383r</w:t>
            </w:r>
          </w:p>
          <w:p w14:paraId="6CE21F13" w14:textId="77777777" w:rsidR="00DE1309" w:rsidRPr="002460E2" w:rsidRDefault="00DE1309" w:rsidP="00DE1309">
            <w:pPr>
              <w:rPr>
                <w:b/>
                <w:bCs/>
                <w:sz w:val="18"/>
                <w:szCs w:val="18"/>
                <w:lang w:val="en-US"/>
              </w:rPr>
            </w:pPr>
            <w:r w:rsidRPr="002460E2">
              <w:rPr>
                <w:b/>
                <w:bCs/>
                <w:sz w:val="18"/>
                <w:szCs w:val="18"/>
                <w:lang w:val="en-US"/>
              </w:rPr>
              <w:t>Corelațiile dintre benzi pentru riscul de marjă de credit al contrapărții</w:t>
            </w:r>
          </w:p>
          <w:p w14:paraId="39CF0567" w14:textId="77777777" w:rsidR="00DE1309" w:rsidRPr="002460E2" w:rsidRDefault="00DE1309" w:rsidP="00DE1309">
            <w:pPr>
              <w:rPr>
                <w:sz w:val="18"/>
                <w:szCs w:val="18"/>
                <w:lang w:val="en-US"/>
              </w:rPr>
            </w:pPr>
            <w:r w:rsidRPr="002460E2">
              <w:rPr>
                <w:sz w:val="18"/>
                <w:szCs w:val="18"/>
                <w:lang w:val="en-US"/>
              </w:rPr>
              <w:t>Corelațiile dintre benzi pentru riscul de marjă de credit al contrapărții delta sunt următoarele:</w:t>
            </w:r>
          </w:p>
          <w:p w14:paraId="4C1BF2B0" w14:textId="77777777" w:rsidR="00DE1309" w:rsidRPr="002460E2" w:rsidRDefault="00DE1309" w:rsidP="00DE1309">
            <w:pPr>
              <w:rPr>
                <w:b/>
                <w:bCs/>
                <w:sz w:val="18"/>
                <w:szCs w:val="18"/>
              </w:rPr>
            </w:pPr>
            <w:r w:rsidRPr="002460E2">
              <w:rPr>
                <w:b/>
                <w:bCs/>
                <w:sz w:val="18"/>
                <w:szCs w:val="18"/>
              </w:rPr>
              <w:t>Tabelul 1</w:t>
            </w:r>
          </w:p>
          <w:p w14:paraId="50BC3FB7" w14:textId="77777777" w:rsidR="00DE1309" w:rsidRPr="002460E2" w:rsidRDefault="00DE1309" w:rsidP="00DE1309">
            <w:pPr>
              <w:rPr>
                <w:sz w:val="18"/>
                <w:szCs w:val="18"/>
                <w:lang w:val="en-US"/>
              </w:rPr>
            </w:pPr>
          </w:p>
          <w:p w14:paraId="1D86193A" w14:textId="2C87ADCD" w:rsidR="00DE1309" w:rsidRPr="002460E2" w:rsidRDefault="00DE1309" w:rsidP="00DE1309">
            <w:pPr>
              <w:rPr>
                <w:sz w:val="18"/>
                <w:szCs w:val="18"/>
                <w:lang w:val="en-US"/>
              </w:rPr>
            </w:pPr>
            <w:r w:rsidRPr="002460E2">
              <w:rPr>
                <w:rFonts w:eastAsia="Calibri"/>
                <w:noProof/>
                <w:kern w:val="2"/>
                <w:sz w:val="18"/>
                <w:szCs w:val="18"/>
                <w:lang w:val="ro-MD" w:eastAsia="en-US"/>
                <w14:ligatures w14:val="standardContextual"/>
              </w:rPr>
              <w:drawing>
                <wp:inline distT="0" distB="0" distL="0" distR="0" wp14:anchorId="24AD6890" wp14:editId="5AAFFCF2">
                  <wp:extent cx="2329428" cy="2194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92280" cy="2253484"/>
                          </a:xfrm>
                          <a:prstGeom prst="rect">
                            <a:avLst/>
                          </a:prstGeom>
                          <a:noFill/>
                          <a:ln>
                            <a:noFill/>
                          </a:ln>
                        </pic:spPr>
                      </pic:pic>
                    </a:graphicData>
                  </a:graphic>
                </wp:inline>
              </w:drawing>
            </w:r>
          </w:p>
          <w:p w14:paraId="76244E84" w14:textId="77777777" w:rsidR="00DE1309" w:rsidRPr="002460E2" w:rsidRDefault="00DE1309" w:rsidP="00DE1309">
            <w:pPr>
              <w:rPr>
                <w:sz w:val="18"/>
                <w:szCs w:val="18"/>
                <w:lang w:val="en-US"/>
              </w:rPr>
            </w:pPr>
          </w:p>
          <w:p w14:paraId="21D53A6E" w14:textId="77777777" w:rsidR="00DE1309" w:rsidRPr="002460E2" w:rsidRDefault="00DE1309" w:rsidP="00DE1309">
            <w:pPr>
              <w:rPr>
                <w:sz w:val="18"/>
                <w:szCs w:val="18"/>
                <w:lang w:val="en-US"/>
              </w:rPr>
            </w:pPr>
          </w:p>
        </w:tc>
        <w:tc>
          <w:tcPr>
            <w:tcW w:w="3685" w:type="dxa"/>
            <w:shd w:val="clear" w:color="auto" w:fill="auto"/>
          </w:tcPr>
          <w:p w14:paraId="7B0D45CC" w14:textId="1959F94A" w:rsidR="00DE1309" w:rsidRPr="002460E2" w:rsidRDefault="00586FEF" w:rsidP="00DE1309">
            <w:pPr>
              <w:spacing w:after="160" w:line="259" w:lineRule="auto"/>
              <w:jc w:val="both"/>
              <w:rPr>
                <w:rFonts w:eastAsiaTheme="minorHAnsi"/>
                <w:sz w:val="18"/>
                <w:szCs w:val="18"/>
                <w:lang w:val="en-US" w:eastAsia="en-US"/>
              </w:rPr>
            </w:pPr>
            <w:r w:rsidRPr="002460E2">
              <w:rPr>
                <w:rFonts w:eastAsiaTheme="minorHAnsi"/>
                <w:sz w:val="18"/>
                <w:szCs w:val="18"/>
                <w:lang w:val="en-US" w:eastAsia="en-US"/>
              </w:rPr>
              <w:lastRenderedPageBreak/>
              <w:t>92</w:t>
            </w:r>
            <w:r w:rsidR="00DE1309" w:rsidRPr="002460E2">
              <w:rPr>
                <w:rFonts w:eastAsiaTheme="minorHAnsi"/>
                <w:sz w:val="18"/>
                <w:szCs w:val="18"/>
                <w:lang w:val="en-US" w:eastAsia="en-US"/>
              </w:rPr>
              <w:t>. Corelațiile dintre benzi pentru riscul de marjă de credit al contrapărții delta sunt următoarele:</w:t>
            </w:r>
          </w:p>
          <w:p w14:paraId="473B9B25" w14:textId="77777777" w:rsidR="00DE1309" w:rsidRPr="002460E2" w:rsidRDefault="00DE1309" w:rsidP="00DE1309">
            <w:pPr>
              <w:spacing w:after="160" w:line="259" w:lineRule="auto"/>
              <w:jc w:val="right"/>
              <w:rPr>
                <w:rFonts w:eastAsiaTheme="minorHAnsi"/>
                <w:i/>
                <w:iCs/>
                <w:sz w:val="18"/>
                <w:szCs w:val="18"/>
                <w:lang w:val="en-US" w:eastAsia="en-US"/>
              </w:rPr>
            </w:pPr>
            <w:r w:rsidRPr="002460E2">
              <w:rPr>
                <w:rFonts w:eastAsiaTheme="minorHAnsi"/>
                <w:i/>
                <w:iCs/>
                <w:sz w:val="18"/>
                <w:szCs w:val="18"/>
                <w:lang w:val="en-US" w:eastAsia="en-US"/>
              </w:rPr>
              <w:t>Tabelul 1</w:t>
            </w:r>
          </w:p>
          <w:p w14:paraId="0C2F4C4E" w14:textId="04F6ACE6" w:rsidR="00DE1309" w:rsidRPr="002460E2" w:rsidRDefault="00DE1309" w:rsidP="00DE1309">
            <w:pPr>
              <w:jc w:val="center"/>
              <w:rPr>
                <w:bCs/>
                <w:i/>
                <w:iCs/>
                <w:sz w:val="18"/>
                <w:szCs w:val="18"/>
                <w:lang w:val="ro-MD" w:eastAsia="en-US"/>
              </w:rPr>
            </w:pPr>
            <w:r w:rsidRPr="002460E2">
              <w:rPr>
                <w:rFonts w:eastAsia="Calibri"/>
                <w:noProof/>
                <w:kern w:val="2"/>
                <w:sz w:val="18"/>
                <w:szCs w:val="18"/>
                <w:lang w:val="ro-MD" w:eastAsia="en-US"/>
                <w14:ligatures w14:val="standardContextual"/>
              </w:rPr>
              <w:drawing>
                <wp:inline distT="0" distB="0" distL="0" distR="0" wp14:anchorId="0653AEAD" wp14:editId="5360E263">
                  <wp:extent cx="2329428" cy="219427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92280" cy="2253484"/>
                          </a:xfrm>
                          <a:prstGeom prst="rect">
                            <a:avLst/>
                          </a:prstGeom>
                          <a:noFill/>
                          <a:ln>
                            <a:noFill/>
                          </a:ln>
                        </pic:spPr>
                      </pic:pic>
                    </a:graphicData>
                  </a:graphic>
                </wp:inline>
              </w:drawing>
            </w:r>
          </w:p>
        </w:tc>
        <w:tc>
          <w:tcPr>
            <w:tcW w:w="1229" w:type="dxa"/>
          </w:tcPr>
          <w:p w14:paraId="0D8F049C" w14:textId="10FF6ABC"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2B097F5" w14:textId="77777777" w:rsidR="00DE1309" w:rsidRPr="002460E2" w:rsidRDefault="00DE1309" w:rsidP="00DE1309">
            <w:pPr>
              <w:jc w:val="both"/>
              <w:rPr>
                <w:sz w:val="18"/>
                <w:szCs w:val="18"/>
                <w:lang w:val="ro-MD"/>
              </w:rPr>
            </w:pPr>
          </w:p>
        </w:tc>
      </w:tr>
      <w:tr w:rsidR="00DE1309" w:rsidRPr="002460E2" w14:paraId="19A3B1BE" w14:textId="77777777" w:rsidTr="003F5B3C">
        <w:trPr>
          <w:trHeight w:val="918"/>
        </w:trPr>
        <w:tc>
          <w:tcPr>
            <w:tcW w:w="4253" w:type="dxa"/>
          </w:tcPr>
          <w:p w14:paraId="6E95B187" w14:textId="77777777" w:rsidR="00DE1309" w:rsidRPr="002460E2" w:rsidRDefault="00DE1309" w:rsidP="00DE1309">
            <w:pPr>
              <w:rPr>
                <w:i/>
                <w:iCs/>
                <w:sz w:val="18"/>
                <w:szCs w:val="18"/>
                <w:lang w:val="en-US"/>
              </w:rPr>
            </w:pPr>
            <w:r w:rsidRPr="002460E2">
              <w:rPr>
                <w:i/>
                <w:iCs/>
                <w:sz w:val="18"/>
                <w:szCs w:val="18"/>
                <w:lang w:val="en-US"/>
              </w:rPr>
              <w:t>Articolul 383s</w:t>
            </w:r>
          </w:p>
          <w:p w14:paraId="7FC87343" w14:textId="77777777" w:rsidR="00DE1309" w:rsidRPr="002460E2" w:rsidRDefault="00DE1309" w:rsidP="00DE1309">
            <w:pPr>
              <w:rPr>
                <w:b/>
                <w:bCs/>
                <w:sz w:val="18"/>
                <w:szCs w:val="18"/>
                <w:lang w:val="en-US"/>
              </w:rPr>
            </w:pPr>
            <w:r w:rsidRPr="002460E2">
              <w:rPr>
                <w:b/>
                <w:bCs/>
                <w:sz w:val="18"/>
                <w:szCs w:val="18"/>
                <w:lang w:val="en-US"/>
              </w:rPr>
              <w:t>Ponderile de risc pentru riscul de marjă de credit de referință</w:t>
            </w:r>
          </w:p>
          <w:p w14:paraId="7BDE17E5" w14:textId="2D439C50" w:rsidR="00DE1309" w:rsidRPr="002460E2" w:rsidRDefault="00DE1309" w:rsidP="00DE1309">
            <w:pPr>
              <w:rPr>
                <w:sz w:val="18"/>
                <w:szCs w:val="18"/>
                <w:lang w:val="en-US"/>
              </w:rPr>
            </w:pPr>
            <w:r w:rsidRPr="002460E2">
              <w:rPr>
                <w:sz w:val="18"/>
                <w:szCs w:val="18"/>
                <w:lang w:val="en-US"/>
              </w:rPr>
              <w:t>(1) Ponderile de risc pentru sensibilitățile delta la factori de risc de marjă de credit de referință sunt aceleași pentru toate scadențele (0,5 ani, 1 an, 3 ani, 5 ani, 10 ani) și pentru toate expunerile la marja de credit de referință din fiecare bandă din tabelul 1 și au următoarele valori:</w:t>
            </w:r>
          </w:p>
          <w:p w14:paraId="0A8F7CB9" w14:textId="77777777" w:rsidR="00DE1309" w:rsidRPr="002460E2" w:rsidRDefault="00DE1309" w:rsidP="00DE1309">
            <w:pPr>
              <w:rPr>
                <w:i/>
                <w:iCs/>
                <w:sz w:val="18"/>
                <w:szCs w:val="18"/>
                <w:lang w:val="en-US"/>
              </w:rPr>
            </w:pPr>
          </w:p>
          <w:p w14:paraId="132E4133" w14:textId="77777777" w:rsidR="00DE1309" w:rsidRPr="002460E2" w:rsidRDefault="00DE1309" w:rsidP="00DE1309">
            <w:pPr>
              <w:rPr>
                <w:i/>
                <w:iCs/>
                <w:sz w:val="18"/>
                <w:szCs w:val="18"/>
                <w:lang w:val="en-US"/>
              </w:rPr>
            </w:pPr>
          </w:p>
          <w:p w14:paraId="35C506BD" w14:textId="6BDF9718" w:rsidR="00DE1309" w:rsidRPr="002460E2" w:rsidRDefault="00DE1309" w:rsidP="00DE1309">
            <w:pPr>
              <w:rPr>
                <w:i/>
                <w:iCs/>
                <w:sz w:val="18"/>
                <w:szCs w:val="18"/>
                <w:lang w:val="en-US"/>
              </w:rPr>
            </w:pPr>
            <w:r w:rsidRPr="002460E2">
              <w:rPr>
                <w:rFonts w:eastAsia="Calibri"/>
                <w:noProof/>
                <w:kern w:val="2"/>
                <w:sz w:val="18"/>
                <w:szCs w:val="18"/>
                <w:lang w:val="ro-MD" w:eastAsia="en-US"/>
                <w14:ligatures w14:val="standardContextual"/>
              </w:rPr>
              <w:lastRenderedPageBreak/>
              <w:drawing>
                <wp:inline distT="0" distB="0" distL="0" distR="0" wp14:anchorId="7BB46BAD" wp14:editId="449955D2">
                  <wp:extent cx="2602705" cy="44763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39736" cy="4539995"/>
                          </a:xfrm>
                          <a:prstGeom prst="rect">
                            <a:avLst/>
                          </a:prstGeom>
                          <a:noFill/>
                          <a:ln>
                            <a:noFill/>
                          </a:ln>
                        </pic:spPr>
                      </pic:pic>
                    </a:graphicData>
                  </a:graphic>
                </wp:inline>
              </w:drawing>
            </w:r>
            <w:r w:rsidRPr="002460E2">
              <w:rPr>
                <w:i/>
                <w:iCs/>
                <w:sz w:val="18"/>
                <w:szCs w:val="18"/>
                <w:lang w:val="en-US"/>
              </w:rPr>
              <w:t xml:space="preserve">  </w:t>
            </w:r>
          </w:p>
          <w:p w14:paraId="4DA45F85" w14:textId="45369B76" w:rsidR="00DE1309" w:rsidRPr="002460E2" w:rsidRDefault="00DE1309" w:rsidP="00DE1309">
            <w:pPr>
              <w:rPr>
                <w:i/>
                <w:iCs/>
                <w:sz w:val="18"/>
                <w:szCs w:val="18"/>
                <w:lang w:val="en-US"/>
              </w:rPr>
            </w:pPr>
            <w:r w:rsidRPr="002460E2">
              <w:rPr>
                <w:sz w:val="18"/>
                <w:szCs w:val="18"/>
                <w:lang w:val="en-US"/>
              </w:rPr>
              <w:lastRenderedPageBreak/>
              <w:t>În cazul în care nu există ratinguri externe pentru o anumită contraparte, instituțiile pot, sub rezerva aprobării de către autoritățile competente,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tc>
        <w:tc>
          <w:tcPr>
            <w:tcW w:w="3685" w:type="dxa"/>
            <w:shd w:val="clear" w:color="auto" w:fill="auto"/>
          </w:tcPr>
          <w:p w14:paraId="09B1010A" w14:textId="77777777" w:rsidR="00DE1309" w:rsidRPr="002460E2" w:rsidRDefault="00DE1309" w:rsidP="00DE1309">
            <w:pPr>
              <w:pStyle w:val="ListParagraph"/>
              <w:ind w:left="786"/>
              <w:jc w:val="center"/>
              <w:rPr>
                <w:i/>
                <w:iCs/>
                <w:sz w:val="18"/>
                <w:szCs w:val="18"/>
                <w:lang w:val="ro-MD"/>
              </w:rPr>
            </w:pPr>
            <w:r w:rsidRPr="002460E2">
              <w:rPr>
                <w:i/>
                <w:iCs/>
                <w:sz w:val="18"/>
                <w:szCs w:val="18"/>
                <w:lang w:val="ro-MD"/>
              </w:rPr>
              <w:lastRenderedPageBreak/>
              <w:t>Secțiunea a 17-a</w:t>
            </w:r>
          </w:p>
          <w:p w14:paraId="6681A250" w14:textId="77777777" w:rsidR="00DE1309" w:rsidRPr="002460E2" w:rsidRDefault="00DE1309" w:rsidP="00DE1309">
            <w:pPr>
              <w:pStyle w:val="ListParagraph"/>
              <w:jc w:val="center"/>
              <w:rPr>
                <w:b/>
                <w:bCs/>
                <w:sz w:val="18"/>
                <w:szCs w:val="18"/>
                <w:lang w:val="ro-MD"/>
              </w:rPr>
            </w:pPr>
            <w:r w:rsidRPr="002460E2">
              <w:rPr>
                <w:b/>
                <w:bCs/>
                <w:sz w:val="18"/>
                <w:szCs w:val="18"/>
                <w:lang w:val="ro-MD"/>
              </w:rPr>
              <w:t>Ponderile de risc pentru riscul de marjă de credit de referință</w:t>
            </w:r>
          </w:p>
          <w:p w14:paraId="163CD46C" w14:textId="77777777" w:rsidR="00DE1309" w:rsidRPr="002460E2" w:rsidRDefault="00DE1309" w:rsidP="00DE1309">
            <w:pPr>
              <w:pStyle w:val="ListParagraph"/>
              <w:jc w:val="center"/>
              <w:rPr>
                <w:b/>
                <w:bCs/>
                <w:sz w:val="18"/>
                <w:szCs w:val="18"/>
                <w:lang w:val="ro-MD"/>
              </w:rPr>
            </w:pPr>
          </w:p>
          <w:p w14:paraId="36ADE24A" w14:textId="7AC0EE23" w:rsidR="00DE1309" w:rsidRPr="002460E2" w:rsidRDefault="00586FEF" w:rsidP="00DE1309">
            <w:pPr>
              <w:pStyle w:val="ListParagraph"/>
              <w:ind w:left="0"/>
              <w:jc w:val="both"/>
              <w:rPr>
                <w:sz w:val="18"/>
                <w:szCs w:val="18"/>
                <w:lang w:val="ro-MD"/>
              </w:rPr>
            </w:pPr>
            <w:r w:rsidRPr="002460E2">
              <w:rPr>
                <w:sz w:val="18"/>
                <w:szCs w:val="18"/>
                <w:lang w:val="ro-MD"/>
              </w:rPr>
              <w:t>93</w:t>
            </w:r>
            <w:r w:rsidR="00DE1309" w:rsidRPr="002460E2">
              <w:rPr>
                <w:sz w:val="18"/>
                <w:szCs w:val="18"/>
                <w:lang w:val="ro-MD"/>
              </w:rPr>
              <w:t>.</w:t>
            </w:r>
            <w:r w:rsidR="00DE1309" w:rsidRPr="002460E2">
              <w:rPr>
                <w:b/>
                <w:bCs/>
                <w:sz w:val="18"/>
                <w:szCs w:val="18"/>
                <w:lang w:val="ro-MD"/>
              </w:rPr>
              <w:t xml:space="preserve"> </w:t>
            </w:r>
            <w:r w:rsidR="00DE1309" w:rsidRPr="002460E2">
              <w:rPr>
                <w:sz w:val="18"/>
                <w:szCs w:val="18"/>
                <w:lang w:val="ro-MD"/>
              </w:rPr>
              <w:t>Ponderile de risc pentru sensibilitățile delta la factori de risc de marjă de credit de referință sunt aceleași pentru toate scadențele (0,5 ani, 1 an, 3 ani, 5 ani, 10 ani) și pentru toate expunerile la marja de credit de referință din fiecare bandă din tabelul 1 și au următoarele valori:</w:t>
            </w:r>
          </w:p>
          <w:p w14:paraId="3397CA55" w14:textId="5EDF0BA9" w:rsidR="00DE1309" w:rsidRPr="002460E2" w:rsidRDefault="00C40F9E" w:rsidP="00DE1309">
            <w:pPr>
              <w:pStyle w:val="ListParagraph"/>
              <w:ind w:left="0"/>
              <w:jc w:val="both"/>
              <w:rPr>
                <w:sz w:val="18"/>
                <w:szCs w:val="18"/>
                <w:lang w:val="ro-MD"/>
              </w:rPr>
            </w:pPr>
            <w:r w:rsidRPr="002460E2">
              <w:rPr>
                <w:rFonts w:eastAsia="Calibri"/>
                <w:noProof/>
                <w:sz w:val="18"/>
                <w:szCs w:val="18"/>
                <w:lang w:val="en-US" w:eastAsia="en-US"/>
              </w:rPr>
              <w:lastRenderedPageBreak/>
              <w:drawing>
                <wp:inline distT="0" distB="0" distL="0" distR="0" wp14:anchorId="2DCF4303" wp14:editId="034AA428">
                  <wp:extent cx="2668772" cy="365786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04770" cy="3707207"/>
                          </a:xfrm>
                          <a:prstGeom prst="rect">
                            <a:avLst/>
                          </a:prstGeom>
                          <a:noFill/>
                          <a:ln>
                            <a:noFill/>
                          </a:ln>
                        </pic:spPr>
                      </pic:pic>
                    </a:graphicData>
                  </a:graphic>
                </wp:inline>
              </w:drawing>
            </w:r>
          </w:p>
          <w:p w14:paraId="145D9DB4" w14:textId="1C2164E9" w:rsidR="00DE1309" w:rsidRPr="002460E2" w:rsidRDefault="00DE1309" w:rsidP="00DE1309">
            <w:pPr>
              <w:pStyle w:val="ListParagraph"/>
              <w:ind w:left="0"/>
              <w:jc w:val="both"/>
              <w:rPr>
                <w:sz w:val="18"/>
                <w:szCs w:val="18"/>
                <w:lang w:val="ro-MD"/>
              </w:rPr>
            </w:pPr>
          </w:p>
          <w:p w14:paraId="17BD84E5" w14:textId="3E0C2806" w:rsidR="00DE1309" w:rsidRPr="002460E2" w:rsidRDefault="00C40F9E" w:rsidP="00DE1309">
            <w:pPr>
              <w:pStyle w:val="ListParagraph"/>
              <w:ind w:left="0"/>
              <w:jc w:val="both"/>
              <w:rPr>
                <w:b/>
                <w:bCs/>
                <w:sz w:val="18"/>
                <w:szCs w:val="18"/>
                <w:lang w:val="ro-MD"/>
              </w:rPr>
            </w:pPr>
            <w:r w:rsidRPr="002460E2">
              <w:rPr>
                <w:sz w:val="18"/>
                <w:szCs w:val="18"/>
                <w:lang w:val="ro-MD"/>
              </w:rPr>
              <w:t>94</w:t>
            </w:r>
            <w:r w:rsidR="00DE1309" w:rsidRPr="002460E2">
              <w:rPr>
                <w:sz w:val="18"/>
                <w:szCs w:val="18"/>
                <w:lang w:val="ro-MD"/>
              </w:rPr>
              <w:t>.</w:t>
            </w:r>
            <w:r w:rsidR="00DE1309" w:rsidRPr="002460E2">
              <w:rPr>
                <w:b/>
                <w:bCs/>
                <w:sz w:val="18"/>
                <w:szCs w:val="18"/>
                <w:lang w:val="ro-MD"/>
              </w:rPr>
              <w:t xml:space="preserve"> </w:t>
            </w:r>
            <w:r w:rsidR="00DE1309" w:rsidRPr="002460E2">
              <w:rPr>
                <w:sz w:val="18"/>
                <w:szCs w:val="18"/>
                <w:lang w:val="ro-MD"/>
              </w:rPr>
              <w:t>În cazul în care nu există ratinguri externe pentru o anumită contraparte, băncile pot, sub rezerva aprobării</w:t>
            </w:r>
            <w:r w:rsidR="00FD1EB7" w:rsidRPr="002460E2">
              <w:rPr>
                <w:sz w:val="18"/>
                <w:szCs w:val="18"/>
                <w:lang w:val="ro-MD"/>
              </w:rPr>
              <w:t xml:space="preserve"> prealabile</w:t>
            </w:r>
            <w:r w:rsidR="00DE1309" w:rsidRPr="002460E2">
              <w:rPr>
                <w:sz w:val="18"/>
                <w:szCs w:val="18"/>
                <w:lang w:val="ro-MD"/>
              </w:rPr>
              <w:t xml:space="preserve"> de către Banca Națională a Moldovei, să pună în corespondență ratingul intern cu un rating extern corespondent și să atribuie o pondere de risc corespunzătoare nivelurilor 1-3 de calitate a creditului sau </w:t>
            </w:r>
            <w:r w:rsidR="00DE1309" w:rsidRPr="002460E2">
              <w:rPr>
                <w:sz w:val="18"/>
                <w:szCs w:val="18"/>
                <w:lang w:val="ro-MD"/>
              </w:rPr>
              <w:lastRenderedPageBreak/>
              <w:t>nivelurilor 4-6 de calitate a creditului. În caz contrar se aplică ponderile de risc pentru expunerile care nu beneficiază de un rating.</w:t>
            </w:r>
          </w:p>
          <w:p w14:paraId="35F144A3" w14:textId="77777777" w:rsidR="00DE1309" w:rsidRPr="002460E2" w:rsidRDefault="00DE1309" w:rsidP="00DE1309">
            <w:pPr>
              <w:jc w:val="center"/>
              <w:rPr>
                <w:bCs/>
                <w:i/>
                <w:iCs/>
                <w:sz w:val="18"/>
                <w:szCs w:val="18"/>
                <w:lang w:val="ro-MD" w:eastAsia="en-US"/>
              </w:rPr>
            </w:pPr>
          </w:p>
        </w:tc>
        <w:tc>
          <w:tcPr>
            <w:tcW w:w="1229" w:type="dxa"/>
          </w:tcPr>
          <w:p w14:paraId="03E2FA75" w14:textId="08DB86C3"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35AF1ACB" w14:textId="77777777" w:rsidR="00DE1309" w:rsidRPr="002460E2" w:rsidRDefault="00DE1309" w:rsidP="00DE1309">
            <w:pPr>
              <w:jc w:val="both"/>
              <w:rPr>
                <w:sz w:val="18"/>
                <w:szCs w:val="18"/>
                <w:lang w:val="ro-MD"/>
              </w:rPr>
            </w:pPr>
          </w:p>
        </w:tc>
      </w:tr>
      <w:tr w:rsidR="00DE1309" w:rsidRPr="002460E2" w14:paraId="63C50940" w14:textId="77777777" w:rsidTr="003F5B3C">
        <w:trPr>
          <w:trHeight w:val="918"/>
        </w:trPr>
        <w:tc>
          <w:tcPr>
            <w:tcW w:w="4253" w:type="dxa"/>
          </w:tcPr>
          <w:p w14:paraId="72E70911" w14:textId="057BF2FA" w:rsidR="00DE1309" w:rsidRPr="002460E2" w:rsidRDefault="00DE1309" w:rsidP="00DE1309">
            <w:pPr>
              <w:rPr>
                <w:sz w:val="18"/>
                <w:szCs w:val="18"/>
                <w:lang w:val="en-US"/>
              </w:rPr>
            </w:pPr>
            <w:r w:rsidRPr="002460E2">
              <w:rPr>
                <w:sz w:val="18"/>
                <w:szCs w:val="18"/>
                <w:lang w:val="en-US"/>
              </w:rPr>
              <w:lastRenderedPageBreak/>
              <w:t>(2) Ponderile de risc pentru volatilitățile marjei de credit de referință se stabilesc la 100 %.</w:t>
            </w:r>
          </w:p>
        </w:tc>
        <w:tc>
          <w:tcPr>
            <w:tcW w:w="3685" w:type="dxa"/>
            <w:shd w:val="clear" w:color="auto" w:fill="auto"/>
          </w:tcPr>
          <w:p w14:paraId="3A2F5AA2" w14:textId="021E5F50" w:rsidR="00DE1309" w:rsidRPr="002460E2" w:rsidRDefault="00DE1309" w:rsidP="00DE1309">
            <w:pPr>
              <w:spacing w:after="160" w:line="259" w:lineRule="auto"/>
              <w:contextualSpacing/>
              <w:jc w:val="both"/>
              <w:rPr>
                <w:sz w:val="18"/>
                <w:szCs w:val="18"/>
                <w:lang w:val="ro-MD" w:eastAsia="en-US"/>
              </w:rPr>
            </w:pPr>
            <w:r w:rsidRPr="002460E2">
              <w:rPr>
                <w:sz w:val="18"/>
                <w:szCs w:val="18"/>
                <w:lang w:val="ro-MD" w:eastAsia="en-US"/>
              </w:rPr>
              <w:t>9</w:t>
            </w:r>
            <w:r w:rsidR="00C40F9E" w:rsidRPr="002460E2">
              <w:rPr>
                <w:sz w:val="18"/>
                <w:szCs w:val="18"/>
                <w:lang w:val="ro-MD" w:eastAsia="en-US"/>
              </w:rPr>
              <w:t>5</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Ponderile de risc pentru volatilitățile marjei de credit de referință se stabilesc la 100 %.</w:t>
            </w:r>
          </w:p>
          <w:p w14:paraId="3C660650" w14:textId="77777777" w:rsidR="00DE1309" w:rsidRPr="002460E2" w:rsidRDefault="00DE1309" w:rsidP="00DE1309">
            <w:pPr>
              <w:spacing w:after="160" w:line="259" w:lineRule="auto"/>
              <w:ind w:left="720"/>
              <w:contextualSpacing/>
              <w:jc w:val="both"/>
              <w:rPr>
                <w:b/>
                <w:bCs/>
                <w:sz w:val="18"/>
                <w:szCs w:val="18"/>
                <w:lang w:val="ro-MD" w:eastAsia="en-US"/>
              </w:rPr>
            </w:pPr>
          </w:p>
          <w:p w14:paraId="2453D32E" w14:textId="77777777" w:rsidR="00DE1309" w:rsidRPr="002460E2" w:rsidRDefault="00DE1309" w:rsidP="00DE1309">
            <w:pPr>
              <w:jc w:val="center"/>
              <w:rPr>
                <w:bCs/>
                <w:i/>
                <w:iCs/>
                <w:sz w:val="18"/>
                <w:szCs w:val="18"/>
                <w:lang w:val="ro-MD" w:eastAsia="en-US"/>
              </w:rPr>
            </w:pPr>
          </w:p>
        </w:tc>
        <w:tc>
          <w:tcPr>
            <w:tcW w:w="1229" w:type="dxa"/>
          </w:tcPr>
          <w:p w14:paraId="3ED944E2" w14:textId="33246169"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0345C48" w14:textId="77777777" w:rsidR="00DE1309" w:rsidRPr="002460E2" w:rsidRDefault="00DE1309" w:rsidP="00DE1309">
            <w:pPr>
              <w:jc w:val="both"/>
              <w:rPr>
                <w:sz w:val="18"/>
                <w:szCs w:val="18"/>
                <w:lang w:val="ro-MD"/>
              </w:rPr>
            </w:pPr>
          </w:p>
        </w:tc>
      </w:tr>
      <w:tr w:rsidR="00DE1309" w:rsidRPr="002460E2" w14:paraId="0D465416" w14:textId="77777777" w:rsidTr="003F5B3C">
        <w:trPr>
          <w:trHeight w:val="918"/>
        </w:trPr>
        <w:tc>
          <w:tcPr>
            <w:tcW w:w="4253" w:type="dxa"/>
          </w:tcPr>
          <w:p w14:paraId="3744AAB5" w14:textId="6857EEA6" w:rsidR="00DE1309" w:rsidRPr="002460E2" w:rsidRDefault="00DE1309" w:rsidP="00DE1309">
            <w:pPr>
              <w:rPr>
                <w:sz w:val="18"/>
                <w:szCs w:val="18"/>
                <w:lang w:val="en-US"/>
              </w:rPr>
            </w:pPr>
            <w:r w:rsidRPr="002460E2">
              <w:rPr>
                <w:sz w:val="18"/>
                <w:szCs w:val="18"/>
                <w:lang w:val="en-US"/>
              </w:rPr>
              <w:t>(3) Atunci când încadrează o expunere la risc într-un sector, instituțiile se bazează pe o clasificare care este utilizată în mod curent pe piață pentru gruparea emitenților în funcție de sector. Instituțiile încadrează fiecare emitent într-o singură bandă sectorială din tabelul 1. Expunerile la risc provenind de la orice emitent pe care o instituție nu le poate atribui unui anumit sector în acest mod sunt încadrate în banda 20 din tabelul 1.</w:t>
            </w:r>
          </w:p>
          <w:p w14:paraId="7CDCE202" w14:textId="77777777" w:rsidR="00DE1309" w:rsidRPr="002460E2" w:rsidRDefault="00DE1309" w:rsidP="00DE1309">
            <w:pPr>
              <w:rPr>
                <w:i/>
                <w:iCs/>
                <w:sz w:val="18"/>
                <w:szCs w:val="18"/>
                <w:lang w:val="en-US"/>
              </w:rPr>
            </w:pPr>
          </w:p>
        </w:tc>
        <w:tc>
          <w:tcPr>
            <w:tcW w:w="3685" w:type="dxa"/>
            <w:shd w:val="clear" w:color="auto" w:fill="auto"/>
          </w:tcPr>
          <w:p w14:paraId="2358B8AA" w14:textId="13325273" w:rsidR="00DE1309" w:rsidRPr="002460E2" w:rsidRDefault="00DE1309" w:rsidP="00DE1309">
            <w:pPr>
              <w:spacing w:after="160" w:line="259" w:lineRule="auto"/>
              <w:contextualSpacing/>
              <w:jc w:val="both"/>
              <w:rPr>
                <w:sz w:val="18"/>
                <w:szCs w:val="18"/>
                <w:lang w:val="ro-MD" w:eastAsia="en-US"/>
              </w:rPr>
            </w:pPr>
            <w:r w:rsidRPr="002460E2">
              <w:rPr>
                <w:sz w:val="18"/>
                <w:szCs w:val="18"/>
                <w:lang w:val="ro-MD" w:eastAsia="en-US"/>
              </w:rPr>
              <w:t>9</w:t>
            </w:r>
            <w:r w:rsidR="00C40F9E" w:rsidRPr="002460E2">
              <w:rPr>
                <w:sz w:val="18"/>
                <w:szCs w:val="18"/>
                <w:lang w:val="ro-MD" w:eastAsia="en-US"/>
              </w:rPr>
              <w:t>6</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Atunci când încadrează o expunere la risc într-un sector, băncile se bazează pe o clasificare care este utilizată în mod curent pe piață pentru gruparea emitenților în funcție de sector. Băncile încadrează fiecare emitent într-o singură bandă sectorială din tabelul 1. Expunerile la risc provenind de la orice emitent pe care banca nu le poate atribui unui anumit sector în acest mod sunt încadrate în banda 20 din tabelul 1.</w:t>
            </w:r>
          </w:p>
          <w:p w14:paraId="40D7656E" w14:textId="77777777" w:rsidR="00DE1309" w:rsidRPr="002460E2" w:rsidRDefault="00DE1309" w:rsidP="00DE1309">
            <w:pPr>
              <w:jc w:val="center"/>
              <w:rPr>
                <w:bCs/>
                <w:i/>
                <w:iCs/>
                <w:sz w:val="18"/>
                <w:szCs w:val="18"/>
                <w:lang w:val="ro-MD" w:eastAsia="en-US"/>
              </w:rPr>
            </w:pPr>
          </w:p>
        </w:tc>
        <w:tc>
          <w:tcPr>
            <w:tcW w:w="1229" w:type="dxa"/>
          </w:tcPr>
          <w:p w14:paraId="225B0CCC" w14:textId="10A1501B"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1A06ADCD" w14:textId="77777777" w:rsidR="00DE1309" w:rsidRPr="002460E2" w:rsidRDefault="00DE1309" w:rsidP="00DE1309">
            <w:pPr>
              <w:jc w:val="both"/>
              <w:rPr>
                <w:sz w:val="18"/>
                <w:szCs w:val="18"/>
                <w:lang w:val="ro-MD"/>
              </w:rPr>
            </w:pPr>
          </w:p>
        </w:tc>
      </w:tr>
      <w:tr w:rsidR="00DE1309" w:rsidRPr="002460E2" w14:paraId="1A771597" w14:textId="77777777" w:rsidTr="003F5B3C">
        <w:trPr>
          <w:trHeight w:val="918"/>
        </w:trPr>
        <w:tc>
          <w:tcPr>
            <w:tcW w:w="4253" w:type="dxa"/>
          </w:tcPr>
          <w:p w14:paraId="2112CF97" w14:textId="1A9826D7" w:rsidR="00DE1309" w:rsidRPr="002460E2" w:rsidRDefault="00DE1309" w:rsidP="00DE1309">
            <w:pPr>
              <w:rPr>
                <w:sz w:val="18"/>
                <w:szCs w:val="18"/>
                <w:lang w:val="en-US"/>
              </w:rPr>
            </w:pPr>
            <w:r w:rsidRPr="002460E2">
              <w:rPr>
                <w:sz w:val="18"/>
                <w:szCs w:val="18"/>
                <w:lang w:val="en-US"/>
              </w:rPr>
              <w:t>(4) Instituțiile încadrează în benzile 11 și 19 numai expunerile care se raportează la indicii calificați menționați la articolul 383b alineatul (4).</w:t>
            </w:r>
          </w:p>
          <w:p w14:paraId="5B6BBDA4" w14:textId="77777777" w:rsidR="00DE1309" w:rsidRPr="002460E2" w:rsidRDefault="00DE1309" w:rsidP="00DE1309">
            <w:pPr>
              <w:rPr>
                <w:i/>
                <w:iCs/>
                <w:sz w:val="18"/>
                <w:szCs w:val="18"/>
                <w:lang w:val="en-US"/>
              </w:rPr>
            </w:pPr>
          </w:p>
        </w:tc>
        <w:tc>
          <w:tcPr>
            <w:tcW w:w="3685" w:type="dxa"/>
            <w:shd w:val="clear" w:color="auto" w:fill="auto"/>
          </w:tcPr>
          <w:p w14:paraId="0F80384E" w14:textId="49C3E91A" w:rsidR="00DE1309" w:rsidRPr="002460E2" w:rsidRDefault="00DE1309" w:rsidP="00DE1309">
            <w:pPr>
              <w:spacing w:after="160" w:line="259" w:lineRule="auto"/>
              <w:rPr>
                <w:rFonts w:eastAsia="Calibri"/>
                <w:kern w:val="2"/>
                <w:sz w:val="18"/>
                <w:szCs w:val="18"/>
                <w:lang w:val="ro-MD" w:eastAsia="en-US"/>
              </w:rPr>
            </w:pPr>
            <w:r w:rsidRPr="002460E2">
              <w:rPr>
                <w:sz w:val="18"/>
                <w:szCs w:val="18"/>
                <w:lang w:val="ro-MD" w:eastAsia="en-US"/>
              </w:rPr>
              <w:t>9</w:t>
            </w:r>
            <w:r w:rsidR="00C40F9E" w:rsidRPr="002460E2">
              <w:rPr>
                <w:sz w:val="18"/>
                <w:szCs w:val="18"/>
                <w:lang w:val="ro-MD" w:eastAsia="en-US"/>
              </w:rPr>
              <w:t>7</w:t>
            </w:r>
            <w:r w:rsidRPr="002460E2">
              <w:rPr>
                <w:sz w:val="18"/>
                <w:szCs w:val="18"/>
                <w:lang w:val="ro-MD" w:eastAsia="en-US"/>
              </w:rPr>
              <w:t>.</w:t>
            </w:r>
            <w:r w:rsidRPr="002460E2">
              <w:rPr>
                <w:b/>
                <w:bCs/>
                <w:sz w:val="18"/>
                <w:szCs w:val="18"/>
                <w:lang w:val="ro-MD" w:eastAsia="en-US"/>
              </w:rPr>
              <w:t xml:space="preserve"> </w:t>
            </w:r>
            <w:r w:rsidRPr="002460E2">
              <w:rPr>
                <w:sz w:val="18"/>
                <w:szCs w:val="18"/>
                <w:lang w:val="ro-MD" w:eastAsia="en-US"/>
              </w:rPr>
              <w:t xml:space="preserve">Băncile încadrează în benzile 11 și 19 numai expunerile care se raportează la indicii calificați menționați la </w:t>
            </w:r>
            <w:r w:rsidRPr="002460E2">
              <w:rPr>
                <w:rFonts w:eastAsia="Calibri"/>
                <w:kern w:val="2"/>
                <w:sz w:val="18"/>
                <w:szCs w:val="18"/>
                <w:lang w:val="ro-MD" w:eastAsia="en-US"/>
              </w:rPr>
              <w:t xml:space="preserve">punctul </w:t>
            </w:r>
            <w:r w:rsidR="00C40F9E" w:rsidRPr="002460E2">
              <w:rPr>
                <w:rFonts w:eastAsia="Calibri"/>
                <w:kern w:val="2"/>
                <w:sz w:val="18"/>
                <w:szCs w:val="18"/>
                <w:lang w:val="ro-MD" w:eastAsia="en-US"/>
              </w:rPr>
              <w:t>33</w:t>
            </w:r>
            <w:r w:rsidRPr="002460E2">
              <w:rPr>
                <w:rFonts w:eastAsia="Calibri"/>
                <w:kern w:val="2"/>
                <w:sz w:val="18"/>
                <w:szCs w:val="18"/>
                <w:lang w:val="ro-MD" w:eastAsia="en-US"/>
              </w:rPr>
              <w:t>.</w:t>
            </w:r>
          </w:p>
          <w:p w14:paraId="4F572EC5" w14:textId="77777777" w:rsidR="00DE1309" w:rsidRPr="002460E2" w:rsidRDefault="00DE1309" w:rsidP="00DE1309">
            <w:pPr>
              <w:jc w:val="center"/>
              <w:rPr>
                <w:bCs/>
                <w:i/>
                <w:iCs/>
                <w:sz w:val="18"/>
                <w:szCs w:val="18"/>
                <w:lang w:val="ro-MD" w:eastAsia="en-US"/>
              </w:rPr>
            </w:pPr>
          </w:p>
        </w:tc>
        <w:tc>
          <w:tcPr>
            <w:tcW w:w="1229" w:type="dxa"/>
          </w:tcPr>
          <w:p w14:paraId="5EAA0E83" w14:textId="46A8CDE0"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CFB945A" w14:textId="77777777" w:rsidR="00DE1309" w:rsidRPr="002460E2" w:rsidRDefault="00DE1309" w:rsidP="00DE1309">
            <w:pPr>
              <w:jc w:val="both"/>
              <w:rPr>
                <w:sz w:val="18"/>
                <w:szCs w:val="18"/>
                <w:lang w:val="ro-MD"/>
              </w:rPr>
            </w:pPr>
          </w:p>
        </w:tc>
      </w:tr>
      <w:tr w:rsidR="00DE1309" w:rsidRPr="002460E2" w14:paraId="2A864640" w14:textId="77777777" w:rsidTr="003F5B3C">
        <w:trPr>
          <w:trHeight w:val="918"/>
        </w:trPr>
        <w:tc>
          <w:tcPr>
            <w:tcW w:w="4253" w:type="dxa"/>
          </w:tcPr>
          <w:p w14:paraId="2F37E954" w14:textId="77CFDFC8" w:rsidR="00DE1309" w:rsidRPr="002460E2" w:rsidRDefault="00DE1309" w:rsidP="00DE1309">
            <w:pPr>
              <w:rPr>
                <w:sz w:val="18"/>
                <w:szCs w:val="18"/>
                <w:lang w:val="en-US"/>
              </w:rPr>
            </w:pPr>
            <w:r w:rsidRPr="002460E2">
              <w:rPr>
                <w:sz w:val="18"/>
                <w:szCs w:val="18"/>
                <w:lang w:val="en-US"/>
              </w:rPr>
              <w:t>(5) Instituțiile utilizează o abordare de tip </w:t>
            </w:r>
            <w:r w:rsidRPr="002460E2">
              <w:rPr>
                <w:i/>
                <w:iCs/>
                <w:sz w:val="18"/>
                <w:szCs w:val="18"/>
                <w:lang w:val="en-US"/>
              </w:rPr>
              <w:t>look-through</w:t>
            </w:r>
            <w:r w:rsidRPr="002460E2">
              <w:rPr>
                <w:sz w:val="18"/>
                <w:szCs w:val="18"/>
                <w:lang w:val="en-US"/>
              </w:rPr>
              <w:t> pentru a determina sensibilitățile unei expuneri care se raportează la un indice necalificat.</w:t>
            </w:r>
          </w:p>
          <w:p w14:paraId="7372E0D4" w14:textId="77777777" w:rsidR="00DE1309" w:rsidRPr="002460E2" w:rsidRDefault="00DE1309" w:rsidP="00DE1309">
            <w:pPr>
              <w:rPr>
                <w:i/>
                <w:iCs/>
                <w:sz w:val="18"/>
                <w:szCs w:val="18"/>
                <w:lang w:val="en-US"/>
              </w:rPr>
            </w:pPr>
          </w:p>
        </w:tc>
        <w:tc>
          <w:tcPr>
            <w:tcW w:w="3685" w:type="dxa"/>
            <w:shd w:val="clear" w:color="auto" w:fill="auto"/>
          </w:tcPr>
          <w:p w14:paraId="4058C836" w14:textId="52F643D4" w:rsidR="00DE1309" w:rsidRPr="002460E2" w:rsidRDefault="00DE1309" w:rsidP="00DE1309">
            <w:pPr>
              <w:spacing w:after="160" w:line="259" w:lineRule="auto"/>
              <w:contextualSpacing/>
              <w:jc w:val="both"/>
              <w:rPr>
                <w:sz w:val="18"/>
                <w:szCs w:val="18"/>
                <w:lang w:val="ro-MD" w:eastAsia="en-US"/>
              </w:rPr>
            </w:pPr>
            <w:r w:rsidRPr="002460E2">
              <w:rPr>
                <w:sz w:val="18"/>
                <w:szCs w:val="18"/>
                <w:lang w:val="ro-MD" w:eastAsia="en-US"/>
              </w:rPr>
              <w:t>9</w:t>
            </w:r>
            <w:r w:rsidR="00C40F9E" w:rsidRPr="002460E2">
              <w:rPr>
                <w:sz w:val="18"/>
                <w:szCs w:val="18"/>
                <w:lang w:val="ro-MD" w:eastAsia="en-US"/>
              </w:rPr>
              <w:t>8</w:t>
            </w:r>
            <w:r w:rsidRPr="002460E2">
              <w:rPr>
                <w:sz w:val="18"/>
                <w:szCs w:val="18"/>
                <w:lang w:val="ro-MD" w:eastAsia="en-US"/>
              </w:rPr>
              <w:t>. Băncile</w:t>
            </w:r>
            <w:r w:rsidRPr="002460E2">
              <w:rPr>
                <w:b/>
                <w:bCs/>
                <w:sz w:val="18"/>
                <w:szCs w:val="18"/>
                <w:lang w:val="ro-MD" w:eastAsia="en-US"/>
              </w:rPr>
              <w:t xml:space="preserve"> </w:t>
            </w:r>
            <w:r w:rsidRPr="002460E2">
              <w:rPr>
                <w:sz w:val="18"/>
                <w:szCs w:val="18"/>
                <w:lang w:val="ro-MD" w:eastAsia="en-US"/>
              </w:rPr>
              <w:t>utilizează o abordare de tip </w:t>
            </w:r>
            <w:r w:rsidRPr="002460E2">
              <w:rPr>
                <w:i/>
                <w:iCs/>
                <w:sz w:val="18"/>
                <w:szCs w:val="18"/>
                <w:lang w:val="ro-MD" w:eastAsia="en-US"/>
              </w:rPr>
              <w:t>look-through</w:t>
            </w:r>
            <w:r w:rsidRPr="002460E2">
              <w:rPr>
                <w:sz w:val="18"/>
                <w:szCs w:val="18"/>
                <w:lang w:val="ro-MD" w:eastAsia="en-US"/>
              </w:rPr>
              <w:t> pentru a determina sensibilitățile unei expuneri care se raportează la un indice necalificat.</w:t>
            </w:r>
          </w:p>
          <w:p w14:paraId="192829F1" w14:textId="77777777" w:rsidR="00DE1309" w:rsidRPr="002460E2" w:rsidRDefault="00DE1309" w:rsidP="00DE1309">
            <w:pPr>
              <w:jc w:val="center"/>
              <w:rPr>
                <w:bCs/>
                <w:i/>
                <w:iCs/>
                <w:sz w:val="18"/>
                <w:szCs w:val="18"/>
                <w:lang w:val="ro-MD" w:eastAsia="en-US"/>
              </w:rPr>
            </w:pPr>
          </w:p>
        </w:tc>
        <w:tc>
          <w:tcPr>
            <w:tcW w:w="1229" w:type="dxa"/>
          </w:tcPr>
          <w:p w14:paraId="34DDBF05" w14:textId="6D9E8DAA"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9F5ECB2" w14:textId="77777777" w:rsidR="00DE1309" w:rsidRPr="002460E2" w:rsidRDefault="00DE1309" w:rsidP="00DE1309">
            <w:pPr>
              <w:jc w:val="both"/>
              <w:rPr>
                <w:sz w:val="18"/>
                <w:szCs w:val="18"/>
                <w:lang w:val="ro-MD"/>
              </w:rPr>
            </w:pPr>
          </w:p>
        </w:tc>
      </w:tr>
      <w:tr w:rsidR="00DE1309" w:rsidRPr="002460E2" w14:paraId="6F715C70" w14:textId="77777777" w:rsidTr="003F5B3C">
        <w:trPr>
          <w:trHeight w:val="918"/>
        </w:trPr>
        <w:tc>
          <w:tcPr>
            <w:tcW w:w="4253" w:type="dxa"/>
          </w:tcPr>
          <w:p w14:paraId="6E3D3AC5" w14:textId="77777777" w:rsidR="00DE1309" w:rsidRPr="002460E2" w:rsidRDefault="00DE1309" w:rsidP="00DE1309">
            <w:pPr>
              <w:rPr>
                <w:i/>
                <w:iCs/>
                <w:sz w:val="18"/>
                <w:szCs w:val="18"/>
                <w:lang w:val="en-US"/>
              </w:rPr>
            </w:pPr>
            <w:r w:rsidRPr="002460E2">
              <w:rPr>
                <w:i/>
                <w:iCs/>
                <w:sz w:val="18"/>
                <w:szCs w:val="18"/>
                <w:lang w:val="en-US"/>
              </w:rPr>
              <w:lastRenderedPageBreak/>
              <w:t>Articolul 383t</w:t>
            </w:r>
          </w:p>
          <w:p w14:paraId="5EA6FECA" w14:textId="77FE34D1" w:rsidR="00DE1309" w:rsidRPr="002460E2" w:rsidRDefault="00DE1309" w:rsidP="00DE1309">
            <w:pPr>
              <w:rPr>
                <w:b/>
                <w:bCs/>
                <w:sz w:val="18"/>
                <w:szCs w:val="18"/>
                <w:lang w:val="en-US"/>
              </w:rPr>
            </w:pPr>
            <w:r w:rsidRPr="002460E2">
              <w:rPr>
                <w:b/>
                <w:bCs/>
                <w:sz w:val="18"/>
                <w:szCs w:val="18"/>
                <w:lang w:val="en-US"/>
              </w:rPr>
              <w:t>Corelațiile din cadrul unei benzi pentru riscul de marjă de credit de referință</w:t>
            </w:r>
          </w:p>
          <w:p w14:paraId="0066E611" w14:textId="20F600BB" w:rsidR="00DE1309" w:rsidRPr="002460E2" w:rsidRDefault="00DE1309" w:rsidP="00DE1309">
            <w:pPr>
              <w:rPr>
                <w:sz w:val="18"/>
                <w:szCs w:val="18"/>
                <w:lang w:val="en-US"/>
              </w:rPr>
            </w:pPr>
            <w:r w:rsidRPr="002460E2">
              <w:rPr>
                <w:sz w:val="18"/>
                <w:szCs w:val="18"/>
                <w:lang w:val="en-US"/>
              </w:rPr>
              <w:t>(1) Între două sensibilități </w:t>
            </w:r>
            <w:r w:rsidRPr="002460E2">
              <w:rPr>
                <w:i/>
                <w:iCs/>
                <w:sz w:val="18"/>
                <w:szCs w:val="18"/>
                <w:lang w:val="en-US"/>
              </w:rPr>
              <w:t>WS</w:t>
            </w:r>
            <w:r w:rsidRPr="002460E2">
              <w:rPr>
                <w:i/>
                <w:iCs/>
                <w:sz w:val="18"/>
                <w:szCs w:val="18"/>
                <w:vertAlign w:val="subscript"/>
                <w:lang w:val="en-US"/>
              </w:rPr>
              <w:t>k</w:t>
            </w:r>
            <w:r w:rsidRPr="002460E2">
              <w:rPr>
                <w:i/>
                <w:iCs/>
                <w:sz w:val="18"/>
                <w:szCs w:val="18"/>
                <w:lang w:val="en-US"/>
              </w:rPr>
              <w:t> </w:t>
            </w:r>
            <w:r w:rsidRPr="002460E2">
              <w:rPr>
                <w:sz w:val="18"/>
                <w:szCs w:val="18"/>
                <w:lang w:val="en-US"/>
              </w:rPr>
              <w:t>și </w:t>
            </w:r>
            <w:r w:rsidRPr="002460E2">
              <w:rPr>
                <w:i/>
                <w:iCs/>
                <w:sz w:val="18"/>
                <w:szCs w:val="18"/>
                <w:lang w:val="en-US"/>
              </w:rPr>
              <w:t>WS</w:t>
            </w:r>
            <w:r w:rsidRPr="002460E2">
              <w:rPr>
                <w:i/>
                <w:iCs/>
                <w:sz w:val="18"/>
                <w:szCs w:val="18"/>
                <w:vertAlign w:val="subscript"/>
                <w:lang w:val="en-US"/>
              </w:rPr>
              <w:t>l</w:t>
            </w:r>
            <w:r w:rsidRPr="002460E2">
              <w:rPr>
                <w:i/>
                <w:iCs/>
                <w:sz w:val="18"/>
                <w:szCs w:val="18"/>
                <w:lang w:val="en-US"/>
              </w:rPr>
              <w:t> </w:t>
            </w:r>
            <w:r w:rsidRPr="002460E2">
              <w:rPr>
                <w:sz w:val="18"/>
                <w:szCs w:val="18"/>
                <w:lang w:val="en-US"/>
              </w:rPr>
              <w:t>, care rezultă din expuneri la risc atribuite benzilor sectoriale 1-10, 12-18 și 20 de la articolul 383s alineatul (1) tabelul 1, parametrul de corelație </w:t>
            </w:r>
            <w:r w:rsidRPr="002460E2">
              <w:rPr>
                <w:i/>
                <w:iCs/>
                <w:sz w:val="18"/>
                <w:szCs w:val="18"/>
              </w:rPr>
              <w:t>ρ</w:t>
            </w:r>
            <w:r w:rsidRPr="002460E2">
              <w:rPr>
                <w:i/>
                <w:iCs/>
                <w:sz w:val="18"/>
                <w:szCs w:val="18"/>
                <w:vertAlign w:val="subscript"/>
                <w:lang w:val="en-US"/>
              </w:rPr>
              <w:t>kl</w:t>
            </w:r>
            <w:r w:rsidRPr="002460E2">
              <w:rPr>
                <w:i/>
                <w:iCs/>
                <w:sz w:val="18"/>
                <w:szCs w:val="18"/>
                <w:lang w:val="en-US"/>
              </w:rPr>
              <w:t> </w:t>
            </w:r>
            <w:r w:rsidRPr="002460E2">
              <w:rPr>
                <w:sz w:val="18"/>
                <w:szCs w:val="18"/>
                <w:lang w:val="en-US"/>
              </w:rPr>
              <w:t>se stabilește după cum urmează:</w:t>
            </w:r>
          </w:p>
          <w:p w14:paraId="0694DA65" w14:textId="77777777" w:rsidR="00DE1309" w:rsidRPr="002460E2" w:rsidRDefault="00DE1309" w:rsidP="00DE1309">
            <w:pPr>
              <w:rPr>
                <w:sz w:val="18"/>
                <w:szCs w:val="18"/>
              </w:rPr>
            </w:pPr>
            <w:r w:rsidRPr="002460E2">
              <w:rPr>
                <w:noProof/>
                <w:sz w:val="18"/>
                <w:szCs w:val="18"/>
              </w:rPr>
              <w:drawing>
                <wp:inline distT="0" distB="0" distL="0" distR="0" wp14:anchorId="46496F61" wp14:editId="6BB65C8A">
                  <wp:extent cx="2260116" cy="278296"/>
                  <wp:effectExtent l="0" t="0" r="6985" b="762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16032" cy="285181"/>
                          </a:xfrm>
                          <a:prstGeom prst="rect">
                            <a:avLst/>
                          </a:prstGeom>
                          <a:noFill/>
                          <a:ln>
                            <a:noFill/>
                          </a:ln>
                        </pic:spPr>
                      </pic:pic>
                    </a:graphicData>
                  </a:graphic>
                </wp:inline>
              </w:drawing>
            </w:r>
          </w:p>
          <w:p w14:paraId="178AFB5C" w14:textId="77777777" w:rsidR="00DE1309" w:rsidRPr="002460E2" w:rsidRDefault="00DE1309" w:rsidP="00DE1309">
            <w:pPr>
              <w:rPr>
                <w:sz w:val="18"/>
                <w:szCs w:val="18"/>
              </w:rPr>
            </w:pPr>
            <w:r w:rsidRPr="002460E2">
              <w:rPr>
                <w:sz w:val="18"/>
                <w:szCs w:val="18"/>
              </w:rPr>
              <w:t>unde:</w:t>
            </w:r>
          </w:p>
          <w:tbl>
            <w:tblPr>
              <w:tblW w:w="5920" w:type="dxa"/>
              <w:tblLayout w:type="fixed"/>
              <w:tblCellMar>
                <w:left w:w="0" w:type="dxa"/>
                <w:right w:w="0" w:type="dxa"/>
              </w:tblCellMar>
              <w:tblLook w:val="04A0" w:firstRow="1" w:lastRow="0" w:firstColumn="1" w:lastColumn="0" w:noHBand="0" w:noVBand="1"/>
            </w:tblPr>
            <w:tblGrid>
              <w:gridCol w:w="828"/>
              <w:gridCol w:w="5092"/>
            </w:tblGrid>
            <w:tr w:rsidR="00DE1309" w:rsidRPr="002460E2" w14:paraId="15DF72F8" w14:textId="77777777" w:rsidTr="00C556FF">
              <w:trPr>
                <w:trHeight w:val="869"/>
              </w:trPr>
              <w:tc>
                <w:tcPr>
                  <w:tcW w:w="828" w:type="dxa"/>
                  <w:shd w:val="clear" w:color="auto" w:fill="auto"/>
                  <w:hideMark/>
                </w:tcPr>
                <w:p w14:paraId="49D9AFC8" w14:textId="77777777" w:rsidR="00DE1309" w:rsidRPr="002460E2" w:rsidRDefault="00DE1309" w:rsidP="00DE1309">
                  <w:pPr>
                    <w:rPr>
                      <w:sz w:val="18"/>
                      <w:szCs w:val="18"/>
                    </w:rPr>
                  </w:pPr>
                  <w:r w:rsidRPr="002460E2">
                    <w:rPr>
                      <w:noProof/>
                      <w:sz w:val="18"/>
                      <w:szCs w:val="18"/>
                    </w:rPr>
                    <w:drawing>
                      <wp:inline distT="0" distB="0" distL="0" distR="0" wp14:anchorId="3A8123C2" wp14:editId="242CF4C1">
                        <wp:extent cx="530836" cy="206734"/>
                        <wp:effectExtent l="0" t="0" r="3175" b="3175"/>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642" cy="223015"/>
                                </a:xfrm>
                                <a:prstGeom prst="rect">
                                  <a:avLst/>
                                </a:prstGeom>
                                <a:noFill/>
                                <a:ln>
                                  <a:noFill/>
                                </a:ln>
                              </pic:spPr>
                            </pic:pic>
                          </a:graphicData>
                        </a:graphic>
                      </wp:inline>
                    </w:drawing>
                  </w:r>
                </w:p>
              </w:tc>
              <w:tc>
                <w:tcPr>
                  <w:tcW w:w="5092" w:type="dxa"/>
                  <w:shd w:val="clear" w:color="auto" w:fill="auto"/>
                  <w:hideMark/>
                </w:tcPr>
                <w:p w14:paraId="2BC2B9CD" w14:textId="77777777" w:rsidR="00DE1309" w:rsidRPr="002460E2" w:rsidRDefault="00DE1309" w:rsidP="00DE1309">
                  <w:pPr>
                    <w:rPr>
                      <w:sz w:val="18"/>
                      <w:szCs w:val="18"/>
                      <w:lang w:val="en-US"/>
                    </w:rPr>
                  </w:pPr>
                  <w:r w:rsidRPr="002460E2">
                    <w:rPr>
                      <w:sz w:val="18"/>
                      <w:szCs w:val="18"/>
                      <w:lang w:val="en-US"/>
                    </w:rPr>
                    <w:t>este egal cu 1 atunci când cele două puncte ale</w:t>
                  </w:r>
                </w:p>
                <w:p w14:paraId="30246AF5" w14:textId="77777777" w:rsidR="00DE1309" w:rsidRPr="002460E2" w:rsidRDefault="00DE1309" w:rsidP="00DE1309">
                  <w:pPr>
                    <w:rPr>
                      <w:sz w:val="18"/>
                      <w:szCs w:val="18"/>
                      <w:lang w:val="en-US"/>
                    </w:rPr>
                  </w:pPr>
                  <w:r w:rsidRPr="002460E2">
                    <w:rPr>
                      <w:sz w:val="18"/>
                      <w:szCs w:val="18"/>
                      <w:lang w:val="en-US"/>
                    </w:rPr>
                    <w:t xml:space="preserve"> sensibilităților k și l sunt identice, iar în caz </w:t>
                  </w:r>
                </w:p>
                <w:p w14:paraId="3F395786" w14:textId="0F75AAC1" w:rsidR="00DE1309" w:rsidRPr="002460E2" w:rsidRDefault="00DE1309" w:rsidP="00DE1309">
                  <w:pPr>
                    <w:rPr>
                      <w:sz w:val="18"/>
                      <w:szCs w:val="18"/>
                      <w:lang w:val="en-US"/>
                    </w:rPr>
                  </w:pPr>
                  <w:r w:rsidRPr="002460E2">
                    <w:rPr>
                      <w:sz w:val="18"/>
                      <w:szCs w:val="18"/>
                      <w:lang w:val="en-US"/>
                    </w:rPr>
                    <w:t>contrar este egal cu 90 %;</w:t>
                  </w:r>
                </w:p>
              </w:tc>
            </w:tr>
          </w:tbl>
          <w:p w14:paraId="384A4BEB" w14:textId="77777777" w:rsidR="00DE1309" w:rsidRPr="002460E2" w:rsidRDefault="00DE1309" w:rsidP="00DE1309">
            <w:pPr>
              <w:rPr>
                <w:vanish/>
                <w:sz w:val="18"/>
                <w:szCs w:val="18"/>
              </w:rPr>
            </w:pPr>
          </w:p>
          <w:tbl>
            <w:tblPr>
              <w:tblW w:w="5870" w:type="dxa"/>
              <w:tblLayout w:type="fixed"/>
              <w:tblCellMar>
                <w:left w:w="0" w:type="dxa"/>
                <w:right w:w="0" w:type="dxa"/>
              </w:tblCellMar>
              <w:tblLook w:val="04A0" w:firstRow="1" w:lastRow="0" w:firstColumn="1" w:lastColumn="0" w:noHBand="0" w:noVBand="1"/>
            </w:tblPr>
            <w:tblGrid>
              <w:gridCol w:w="691"/>
              <w:gridCol w:w="5179"/>
            </w:tblGrid>
            <w:tr w:rsidR="00DE1309" w:rsidRPr="002460E2" w14:paraId="0C2ADD37" w14:textId="77777777" w:rsidTr="001830C7">
              <w:trPr>
                <w:trHeight w:val="1054"/>
              </w:trPr>
              <w:tc>
                <w:tcPr>
                  <w:tcW w:w="691" w:type="dxa"/>
                  <w:shd w:val="clear" w:color="auto" w:fill="auto"/>
                  <w:hideMark/>
                </w:tcPr>
                <w:p w14:paraId="154F3637" w14:textId="77777777" w:rsidR="00DE1309" w:rsidRPr="002460E2" w:rsidRDefault="00DE1309" w:rsidP="00DE1309">
                  <w:pPr>
                    <w:rPr>
                      <w:sz w:val="18"/>
                      <w:szCs w:val="18"/>
                    </w:rPr>
                  </w:pPr>
                  <w:r w:rsidRPr="002460E2">
                    <w:rPr>
                      <w:noProof/>
                      <w:sz w:val="18"/>
                      <w:szCs w:val="18"/>
                    </w:rPr>
                    <w:drawing>
                      <wp:inline distT="0" distB="0" distL="0" distR="0" wp14:anchorId="1737F959" wp14:editId="4873F7D4">
                        <wp:extent cx="464389" cy="246491"/>
                        <wp:effectExtent l="0" t="0" r="0" b="127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5727" cy="257817"/>
                                </a:xfrm>
                                <a:prstGeom prst="rect">
                                  <a:avLst/>
                                </a:prstGeom>
                                <a:noFill/>
                                <a:ln>
                                  <a:noFill/>
                                </a:ln>
                              </pic:spPr>
                            </pic:pic>
                          </a:graphicData>
                        </a:graphic>
                      </wp:inline>
                    </w:drawing>
                  </w:r>
                </w:p>
              </w:tc>
              <w:tc>
                <w:tcPr>
                  <w:tcW w:w="5179" w:type="dxa"/>
                  <w:shd w:val="clear" w:color="auto" w:fill="auto"/>
                  <w:hideMark/>
                </w:tcPr>
                <w:p w14:paraId="3837765A" w14:textId="77777777" w:rsidR="00DE1309" w:rsidRPr="002460E2" w:rsidRDefault="00DE1309" w:rsidP="00DE1309">
                  <w:pPr>
                    <w:rPr>
                      <w:sz w:val="18"/>
                      <w:szCs w:val="18"/>
                      <w:lang w:val="en-US"/>
                    </w:rPr>
                  </w:pPr>
                  <w:r w:rsidRPr="002460E2">
                    <w:rPr>
                      <w:sz w:val="18"/>
                      <w:szCs w:val="18"/>
                      <w:lang w:val="en-US"/>
                    </w:rPr>
                    <w:t xml:space="preserve">este egal cu 1 atunci când cele două nume ale </w:t>
                  </w:r>
                </w:p>
                <w:p w14:paraId="7DC9AA4C" w14:textId="77777777" w:rsidR="00DE1309" w:rsidRPr="002460E2" w:rsidRDefault="00DE1309" w:rsidP="00DE1309">
                  <w:pPr>
                    <w:rPr>
                      <w:sz w:val="18"/>
                      <w:szCs w:val="18"/>
                      <w:lang w:val="en-US"/>
                    </w:rPr>
                  </w:pPr>
                  <w:r w:rsidRPr="002460E2">
                    <w:rPr>
                      <w:sz w:val="18"/>
                      <w:szCs w:val="18"/>
                      <w:lang w:val="en-US"/>
                    </w:rPr>
                    <w:t xml:space="preserve">sensibilităților k și l sunt identice, 90 % dacă </w:t>
                  </w:r>
                </w:p>
                <w:p w14:paraId="0E16A85D" w14:textId="77777777" w:rsidR="00DE1309" w:rsidRPr="002460E2" w:rsidRDefault="00DE1309" w:rsidP="00DE1309">
                  <w:pPr>
                    <w:rPr>
                      <w:sz w:val="18"/>
                      <w:szCs w:val="18"/>
                      <w:lang w:val="en-US"/>
                    </w:rPr>
                  </w:pPr>
                  <w:r w:rsidRPr="002460E2">
                    <w:rPr>
                      <w:sz w:val="18"/>
                      <w:szCs w:val="18"/>
                      <w:lang w:val="en-US"/>
                    </w:rPr>
                    <w:t>cele două nume sunt distincte, dar legate juridic,</w:t>
                  </w:r>
                </w:p>
                <w:p w14:paraId="1ADF862B" w14:textId="1645B408" w:rsidR="00DE1309" w:rsidRPr="002460E2" w:rsidRDefault="00DE1309" w:rsidP="00DE1309">
                  <w:pPr>
                    <w:rPr>
                      <w:sz w:val="18"/>
                      <w:szCs w:val="18"/>
                      <w:lang w:val="en-US"/>
                    </w:rPr>
                  </w:pPr>
                  <w:r w:rsidRPr="002460E2">
                    <w:rPr>
                      <w:sz w:val="18"/>
                      <w:szCs w:val="18"/>
                      <w:lang w:val="en-US"/>
                    </w:rPr>
                    <w:t>iar în caz contrar este egal cu 50 %;</w:t>
                  </w:r>
                </w:p>
              </w:tc>
            </w:tr>
          </w:tbl>
          <w:p w14:paraId="6375464B" w14:textId="77777777" w:rsidR="00DE1309" w:rsidRPr="002460E2" w:rsidRDefault="00DE1309" w:rsidP="00DE1309">
            <w:pPr>
              <w:rPr>
                <w:vanish/>
                <w:sz w:val="18"/>
                <w:szCs w:val="18"/>
              </w:rPr>
            </w:pPr>
          </w:p>
          <w:tbl>
            <w:tblPr>
              <w:tblW w:w="5470" w:type="dxa"/>
              <w:tblLayout w:type="fixed"/>
              <w:tblCellMar>
                <w:left w:w="0" w:type="dxa"/>
                <w:right w:w="0" w:type="dxa"/>
              </w:tblCellMar>
              <w:tblLook w:val="04A0" w:firstRow="1" w:lastRow="0" w:firstColumn="1" w:lastColumn="0" w:noHBand="0" w:noVBand="1"/>
            </w:tblPr>
            <w:tblGrid>
              <w:gridCol w:w="730"/>
              <w:gridCol w:w="4740"/>
            </w:tblGrid>
            <w:tr w:rsidR="00DE1309" w:rsidRPr="002460E2" w14:paraId="10AB47ED" w14:textId="77777777" w:rsidTr="001830C7">
              <w:trPr>
                <w:trHeight w:val="1118"/>
              </w:trPr>
              <w:tc>
                <w:tcPr>
                  <w:tcW w:w="730" w:type="dxa"/>
                  <w:shd w:val="clear" w:color="auto" w:fill="auto"/>
                  <w:hideMark/>
                </w:tcPr>
                <w:p w14:paraId="251697BF" w14:textId="77777777" w:rsidR="00DE1309" w:rsidRPr="002460E2" w:rsidRDefault="00DE1309" w:rsidP="00DE1309">
                  <w:pPr>
                    <w:rPr>
                      <w:sz w:val="18"/>
                      <w:szCs w:val="18"/>
                    </w:rPr>
                  </w:pPr>
                  <w:r w:rsidRPr="002460E2">
                    <w:rPr>
                      <w:noProof/>
                      <w:sz w:val="18"/>
                      <w:szCs w:val="18"/>
                    </w:rPr>
                    <w:drawing>
                      <wp:inline distT="0" distB="0" distL="0" distR="0" wp14:anchorId="281D2196" wp14:editId="685EAAE9">
                        <wp:extent cx="461063" cy="214685"/>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2313" cy="224580"/>
                                </a:xfrm>
                                <a:prstGeom prst="rect">
                                  <a:avLst/>
                                </a:prstGeom>
                                <a:noFill/>
                                <a:ln>
                                  <a:noFill/>
                                </a:ln>
                              </pic:spPr>
                            </pic:pic>
                          </a:graphicData>
                        </a:graphic>
                      </wp:inline>
                    </w:drawing>
                  </w:r>
                </w:p>
              </w:tc>
              <w:tc>
                <w:tcPr>
                  <w:tcW w:w="4740" w:type="dxa"/>
                  <w:shd w:val="clear" w:color="auto" w:fill="auto"/>
                  <w:hideMark/>
                </w:tcPr>
                <w:p w14:paraId="3E23E0B0" w14:textId="77777777" w:rsidR="00DE1309" w:rsidRPr="002460E2" w:rsidRDefault="00DE1309" w:rsidP="00DE1309">
                  <w:pPr>
                    <w:rPr>
                      <w:sz w:val="18"/>
                      <w:szCs w:val="18"/>
                      <w:lang w:val="en-US"/>
                    </w:rPr>
                  </w:pPr>
                  <w:r w:rsidRPr="002460E2">
                    <w:rPr>
                      <w:sz w:val="18"/>
                      <w:szCs w:val="18"/>
                      <w:lang w:val="en-US"/>
                    </w:rPr>
                    <w:t xml:space="preserve">este egal cu 1 atunci când cele două nume sunt </w:t>
                  </w:r>
                </w:p>
                <w:p w14:paraId="307F8392" w14:textId="77777777" w:rsidR="00DE1309" w:rsidRPr="002460E2" w:rsidRDefault="00DE1309" w:rsidP="00DE1309">
                  <w:pPr>
                    <w:rPr>
                      <w:sz w:val="18"/>
                      <w:szCs w:val="18"/>
                      <w:lang w:val="en-US"/>
                    </w:rPr>
                  </w:pPr>
                  <w:r w:rsidRPr="002460E2">
                    <w:rPr>
                      <w:sz w:val="18"/>
                      <w:szCs w:val="18"/>
                      <w:lang w:val="en-US"/>
                    </w:rPr>
                    <w:t xml:space="preserve">ambele în benzile 1-10, sunt ambele în benzile </w:t>
                  </w:r>
                </w:p>
                <w:p w14:paraId="12120F5D" w14:textId="77777777" w:rsidR="00DE1309" w:rsidRPr="002460E2" w:rsidRDefault="00DE1309" w:rsidP="00DE1309">
                  <w:pPr>
                    <w:rPr>
                      <w:sz w:val="18"/>
                      <w:szCs w:val="18"/>
                      <w:lang w:val="en-US"/>
                    </w:rPr>
                  </w:pPr>
                  <w:r w:rsidRPr="002460E2">
                    <w:rPr>
                      <w:sz w:val="18"/>
                      <w:szCs w:val="18"/>
                      <w:lang w:val="en-US"/>
                    </w:rPr>
                    <w:t xml:space="preserve">12-18 sau sunt ambele în banda 20, iar în caz </w:t>
                  </w:r>
                </w:p>
                <w:p w14:paraId="6EC82E76" w14:textId="26E74A17" w:rsidR="00DE1309" w:rsidRPr="002460E2" w:rsidRDefault="00DE1309" w:rsidP="00DE1309">
                  <w:pPr>
                    <w:rPr>
                      <w:sz w:val="18"/>
                      <w:szCs w:val="18"/>
                      <w:lang w:val="en-US"/>
                    </w:rPr>
                  </w:pPr>
                  <w:r w:rsidRPr="002460E2">
                    <w:rPr>
                      <w:sz w:val="18"/>
                      <w:szCs w:val="18"/>
                      <w:lang w:val="en-US"/>
                    </w:rPr>
                    <w:t>contrar este egal cu 80 %.</w:t>
                  </w:r>
                </w:p>
              </w:tc>
            </w:tr>
          </w:tbl>
          <w:p w14:paraId="3308691F" w14:textId="77777777" w:rsidR="00DE1309" w:rsidRPr="002460E2" w:rsidRDefault="00DE1309" w:rsidP="00DE1309">
            <w:pPr>
              <w:rPr>
                <w:i/>
                <w:iCs/>
                <w:sz w:val="18"/>
                <w:szCs w:val="18"/>
                <w:lang w:val="en-US"/>
              </w:rPr>
            </w:pPr>
          </w:p>
        </w:tc>
        <w:tc>
          <w:tcPr>
            <w:tcW w:w="3685" w:type="dxa"/>
            <w:shd w:val="clear" w:color="auto" w:fill="auto"/>
          </w:tcPr>
          <w:p w14:paraId="56794F6B" w14:textId="77777777" w:rsidR="00DE1309" w:rsidRPr="002460E2" w:rsidRDefault="00DE1309" w:rsidP="00DE1309">
            <w:pPr>
              <w:ind w:left="786"/>
              <w:contextualSpacing/>
              <w:jc w:val="center"/>
              <w:rPr>
                <w:i/>
                <w:iCs/>
                <w:sz w:val="18"/>
                <w:szCs w:val="18"/>
                <w:lang w:val="ro-MD" w:eastAsia="en-US"/>
              </w:rPr>
            </w:pPr>
            <w:r w:rsidRPr="002460E2">
              <w:rPr>
                <w:i/>
                <w:iCs/>
                <w:sz w:val="18"/>
                <w:szCs w:val="18"/>
                <w:lang w:val="ro-MD" w:eastAsia="en-US"/>
              </w:rPr>
              <w:t>Secțiunea a 18-a</w:t>
            </w:r>
          </w:p>
          <w:p w14:paraId="06E8A2FA" w14:textId="77777777" w:rsidR="00DE1309" w:rsidRPr="002460E2" w:rsidRDefault="00DE1309" w:rsidP="00DE1309">
            <w:pPr>
              <w:spacing w:after="160" w:line="259" w:lineRule="auto"/>
              <w:jc w:val="center"/>
              <w:rPr>
                <w:rFonts w:eastAsia="Calibri"/>
                <w:b/>
                <w:bCs/>
                <w:kern w:val="2"/>
                <w:sz w:val="18"/>
                <w:szCs w:val="18"/>
                <w:lang w:val="ro-MD" w:eastAsia="en-US"/>
              </w:rPr>
            </w:pPr>
            <w:r w:rsidRPr="002460E2">
              <w:rPr>
                <w:rFonts w:eastAsia="Calibri"/>
                <w:b/>
                <w:bCs/>
                <w:kern w:val="2"/>
                <w:sz w:val="18"/>
                <w:szCs w:val="18"/>
                <w:lang w:val="ro-MD" w:eastAsia="en-US"/>
              </w:rPr>
              <w:t>Corelațiile din cadrul unei benzi pentru riscul de marjă de credit de referință</w:t>
            </w:r>
          </w:p>
          <w:p w14:paraId="25C101E6" w14:textId="3A330FD4" w:rsidR="00DE1309" w:rsidRPr="002460E2" w:rsidRDefault="00DE1309" w:rsidP="00DE1309">
            <w:pPr>
              <w:spacing w:after="160" w:line="259" w:lineRule="auto"/>
              <w:rPr>
                <w:rFonts w:eastAsia="Calibri"/>
                <w:kern w:val="2"/>
                <w:sz w:val="18"/>
                <w:szCs w:val="18"/>
                <w:lang w:val="ro-MD" w:eastAsia="en-US"/>
              </w:rPr>
            </w:pPr>
            <w:r w:rsidRPr="002460E2">
              <w:rPr>
                <w:rFonts w:eastAsia="Calibri"/>
                <w:kern w:val="2"/>
                <w:sz w:val="18"/>
                <w:szCs w:val="18"/>
                <w:lang w:val="ro-MD" w:eastAsia="en-US"/>
              </w:rPr>
              <w:t>9</w:t>
            </w:r>
            <w:r w:rsidR="00C40F9E" w:rsidRPr="002460E2">
              <w:rPr>
                <w:rFonts w:eastAsia="Calibri"/>
                <w:kern w:val="2"/>
                <w:sz w:val="18"/>
                <w:szCs w:val="18"/>
                <w:lang w:val="ro-MD" w:eastAsia="en-US"/>
              </w:rPr>
              <w:t>9</w:t>
            </w:r>
            <w:r w:rsidRPr="002460E2">
              <w:rPr>
                <w:rFonts w:eastAsia="Calibri"/>
                <w:kern w:val="2"/>
                <w:sz w:val="18"/>
                <w:szCs w:val="18"/>
                <w:lang w:val="ro-MD" w:eastAsia="en-US"/>
              </w:rPr>
              <w:t>. Între două sensibilități </w:t>
            </w:r>
            <w:r w:rsidRPr="002460E2">
              <w:rPr>
                <w:rFonts w:eastAsia="Calibri"/>
                <w:i/>
                <w:iCs/>
                <w:kern w:val="2"/>
                <w:sz w:val="18"/>
                <w:szCs w:val="18"/>
                <w:lang w:val="ro-MD" w:eastAsia="en-US"/>
              </w:rPr>
              <w:t>WS</w:t>
            </w:r>
            <w:r w:rsidRPr="002460E2">
              <w:rPr>
                <w:rFonts w:eastAsia="Calibri"/>
                <w:i/>
                <w:iCs/>
                <w:kern w:val="2"/>
                <w:sz w:val="18"/>
                <w:szCs w:val="18"/>
                <w:vertAlign w:val="subscript"/>
                <w:lang w:val="ro-MD" w:eastAsia="en-US"/>
              </w:rPr>
              <w:t>k</w:t>
            </w:r>
            <w:r w:rsidRPr="002460E2">
              <w:rPr>
                <w:rFonts w:eastAsia="Calibri"/>
                <w:i/>
                <w:iCs/>
                <w:kern w:val="2"/>
                <w:sz w:val="18"/>
                <w:szCs w:val="18"/>
                <w:lang w:val="ro-MD" w:eastAsia="en-US"/>
              </w:rPr>
              <w:t> </w:t>
            </w:r>
            <w:r w:rsidRPr="002460E2">
              <w:rPr>
                <w:rFonts w:eastAsia="Calibri"/>
                <w:kern w:val="2"/>
                <w:sz w:val="18"/>
                <w:szCs w:val="18"/>
                <w:lang w:val="ro-MD" w:eastAsia="en-US"/>
              </w:rPr>
              <w:t>și </w:t>
            </w:r>
            <w:r w:rsidRPr="002460E2">
              <w:rPr>
                <w:rFonts w:eastAsia="Calibri"/>
                <w:i/>
                <w:iCs/>
                <w:kern w:val="2"/>
                <w:sz w:val="18"/>
                <w:szCs w:val="18"/>
                <w:lang w:val="ro-MD" w:eastAsia="en-US"/>
              </w:rPr>
              <w:t>WS</w:t>
            </w:r>
            <w:r w:rsidRPr="002460E2">
              <w:rPr>
                <w:rFonts w:eastAsia="Calibri"/>
                <w:i/>
                <w:iCs/>
                <w:kern w:val="2"/>
                <w:sz w:val="18"/>
                <w:szCs w:val="18"/>
                <w:vertAlign w:val="subscript"/>
                <w:lang w:val="ro-MD" w:eastAsia="en-US"/>
              </w:rPr>
              <w:t>l</w:t>
            </w:r>
            <w:r w:rsidRPr="002460E2">
              <w:rPr>
                <w:rFonts w:eastAsia="Calibri"/>
                <w:i/>
                <w:iCs/>
                <w:kern w:val="2"/>
                <w:sz w:val="18"/>
                <w:szCs w:val="18"/>
                <w:lang w:val="ro-MD" w:eastAsia="en-US"/>
              </w:rPr>
              <w:t> </w:t>
            </w:r>
            <w:r w:rsidRPr="002460E2">
              <w:rPr>
                <w:rFonts w:eastAsia="Calibri"/>
                <w:kern w:val="2"/>
                <w:sz w:val="18"/>
                <w:szCs w:val="18"/>
                <w:lang w:val="ro-MD" w:eastAsia="en-US"/>
              </w:rPr>
              <w:t xml:space="preserve">, care rezultă din expuneri la risc atribuite benzilor sectoriale 1-10, 12-18 și 20 de la punctele </w:t>
            </w:r>
            <w:r w:rsidR="00C40F9E" w:rsidRPr="002460E2">
              <w:rPr>
                <w:rFonts w:eastAsia="Calibri"/>
                <w:kern w:val="2"/>
                <w:sz w:val="18"/>
                <w:szCs w:val="18"/>
                <w:lang w:val="ro-MD" w:eastAsia="en-US"/>
              </w:rPr>
              <w:t>93</w:t>
            </w:r>
            <w:r w:rsidRPr="002460E2">
              <w:rPr>
                <w:rFonts w:eastAsia="Calibri"/>
                <w:kern w:val="2"/>
                <w:sz w:val="18"/>
                <w:szCs w:val="18"/>
                <w:lang w:val="ro-MD" w:eastAsia="en-US"/>
              </w:rPr>
              <w:t xml:space="preserve"> și </w:t>
            </w:r>
            <w:r w:rsidR="00C40F9E" w:rsidRPr="002460E2">
              <w:rPr>
                <w:rFonts w:eastAsia="Calibri"/>
                <w:kern w:val="2"/>
                <w:sz w:val="18"/>
                <w:szCs w:val="18"/>
                <w:lang w:val="ro-MD" w:eastAsia="en-US"/>
              </w:rPr>
              <w:t>94</w:t>
            </w:r>
            <w:r w:rsidRPr="002460E2">
              <w:rPr>
                <w:rFonts w:eastAsia="Calibri"/>
                <w:kern w:val="2"/>
                <w:sz w:val="18"/>
                <w:szCs w:val="18"/>
                <w:lang w:val="ro-MD" w:eastAsia="en-US"/>
              </w:rPr>
              <w:t>, parametrul de corelație </w:t>
            </w:r>
            <w:r w:rsidRPr="002460E2">
              <w:rPr>
                <w:rFonts w:eastAsia="Calibri"/>
                <w:i/>
                <w:iCs/>
                <w:kern w:val="2"/>
                <w:sz w:val="18"/>
                <w:szCs w:val="18"/>
                <w:lang w:val="ro-MD" w:eastAsia="en-US"/>
              </w:rPr>
              <w:t>ρ</w:t>
            </w:r>
            <w:r w:rsidRPr="002460E2">
              <w:rPr>
                <w:rFonts w:eastAsia="Calibri"/>
                <w:i/>
                <w:iCs/>
                <w:kern w:val="2"/>
                <w:sz w:val="18"/>
                <w:szCs w:val="18"/>
                <w:vertAlign w:val="subscript"/>
                <w:lang w:val="ro-MD" w:eastAsia="en-US"/>
              </w:rPr>
              <w:t>kl</w:t>
            </w:r>
            <w:r w:rsidRPr="002460E2">
              <w:rPr>
                <w:rFonts w:eastAsia="Calibri"/>
                <w:i/>
                <w:iCs/>
                <w:kern w:val="2"/>
                <w:sz w:val="18"/>
                <w:szCs w:val="18"/>
                <w:lang w:val="ro-MD" w:eastAsia="en-US"/>
              </w:rPr>
              <w:t> </w:t>
            </w:r>
            <w:r w:rsidRPr="002460E2">
              <w:rPr>
                <w:rFonts w:eastAsia="Calibri"/>
                <w:kern w:val="2"/>
                <w:sz w:val="18"/>
                <w:szCs w:val="18"/>
                <w:lang w:val="ro-MD" w:eastAsia="en-US"/>
              </w:rPr>
              <w:t>se stabilește după cum urmează:</w:t>
            </w:r>
          </w:p>
          <w:p w14:paraId="7872AD6B" w14:textId="77777777" w:rsidR="00DE1309" w:rsidRPr="002460E2" w:rsidRDefault="00DE1309" w:rsidP="00DE1309">
            <w:pPr>
              <w:spacing w:after="160" w:line="259" w:lineRule="auto"/>
              <w:jc w:val="center"/>
              <w:rPr>
                <w:rFonts w:eastAsia="Calibri"/>
                <w:kern w:val="2"/>
                <w:sz w:val="18"/>
                <w:szCs w:val="18"/>
                <w:lang w:val="ro-MD" w:eastAsia="en-US"/>
              </w:rPr>
            </w:pPr>
            <w:r w:rsidRPr="002460E2">
              <w:rPr>
                <w:rFonts w:eastAsia="Calibri"/>
                <w:noProof/>
                <w:kern w:val="2"/>
                <w:sz w:val="18"/>
                <w:szCs w:val="18"/>
                <w:lang w:val="ro-MD" w:eastAsia="en-US"/>
              </w:rPr>
              <w:drawing>
                <wp:inline distT="0" distB="0" distL="0" distR="0" wp14:anchorId="6915F756" wp14:editId="057FB344">
                  <wp:extent cx="2133026" cy="262647"/>
                  <wp:effectExtent l="0" t="0" r="635" b="4445"/>
                  <wp:docPr id="145" name="Pictur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62298" cy="266251"/>
                          </a:xfrm>
                          <a:prstGeom prst="rect">
                            <a:avLst/>
                          </a:prstGeom>
                          <a:noFill/>
                          <a:ln>
                            <a:noFill/>
                          </a:ln>
                        </pic:spPr>
                      </pic:pic>
                    </a:graphicData>
                  </a:graphic>
                </wp:inline>
              </w:drawing>
            </w:r>
          </w:p>
          <w:p w14:paraId="6273CC0B" w14:textId="77777777" w:rsidR="00DE1309" w:rsidRPr="002460E2" w:rsidRDefault="00DE1309" w:rsidP="00DE1309">
            <w:pPr>
              <w:spacing w:after="160" w:line="259" w:lineRule="auto"/>
              <w:rPr>
                <w:rFonts w:eastAsia="Calibri"/>
                <w:kern w:val="2"/>
                <w:sz w:val="18"/>
                <w:szCs w:val="18"/>
                <w:lang w:val="ro-MD" w:eastAsia="en-US"/>
              </w:rPr>
            </w:pPr>
            <w:r w:rsidRPr="002460E2">
              <w:rPr>
                <w:rFonts w:eastAsia="Calibri"/>
                <w:kern w:val="2"/>
                <w:sz w:val="18"/>
                <w:szCs w:val="18"/>
                <w:lang w:val="ro-MD" w:eastAsia="en-US"/>
              </w:rPr>
              <w:t>unde:</w:t>
            </w:r>
          </w:p>
          <w:tbl>
            <w:tblPr>
              <w:tblW w:w="3431" w:type="dxa"/>
              <w:tblLayout w:type="fixed"/>
              <w:tblCellMar>
                <w:left w:w="0" w:type="dxa"/>
                <w:right w:w="0" w:type="dxa"/>
              </w:tblCellMar>
              <w:tblLook w:val="04A0" w:firstRow="1" w:lastRow="0" w:firstColumn="1" w:lastColumn="0" w:noHBand="0" w:noVBand="1"/>
            </w:tblPr>
            <w:tblGrid>
              <w:gridCol w:w="828"/>
              <w:gridCol w:w="2603"/>
            </w:tblGrid>
            <w:tr w:rsidR="00DE1309" w:rsidRPr="002460E2" w14:paraId="071AA9E9" w14:textId="77777777" w:rsidTr="00D448B2">
              <w:trPr>
                <w:trHeight w:val="869"/>
              </w:trPr>
              <w:tc>
                <w:tcPr>
                  <w:tcW w:w="828" w:type="dxa"/>
                  <w:shd w:val="clear" w:color="auto" w:fill="auto"/>
                  <w:hideMark/>
                </w:tcPr>
                <w:p w14:paraId="2A3BAAA4" w14:textId="77777777" w:rsidR="00DE1309" w:rsidRPr="002460E2" w:rsidRDefault="00DE1309" w:rsidP="00DE1309">
                  <w:pPr>
                    <w:rPr>
                      <w:sz w:val="18"/>
                      <w:szCs w:val="18"/>
                    </w:rPr>
                  </w:pPr>
                  <w:r w:rsidRPr="002460E2">
                    <w:rPr>
                      <w:noProof/>
                      <w:sz w:val="18"/>
                      <w:szCs w:val="18"/>
                    </w:rPr>
                    <w:drawing>
                      <wp:inline distT="0" distB="0" distL="0" distR="0" wp14:anchorId="7A70033A" wp14:editId="5B27E299">
                        <wp:extent cx="530836" cy="206734"/>
                        <wp:effectExtent l="0" t="0" r="3175" b="3175"/>
                        <wp:docPr id="149" name="Pictur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642" cy="223015"/>
                                </a:xfrm>
                                <a:prstGeom prst="rect">
                                  <a:avLst/>
                                </a:prstGeom>
                                <a:noFill/>
                                <a:ln>
                                  <a:noFill/>
                                </a:ln>
                              </pic:spPr>
                            </pic:pic>
                          </a:graphicData>
                        </a:graphic>
                      </wp:inline>
                    </w:drawing>
                  </w:r>
                </w:p>
              </w:tc>
              <w:tc>
                <w:tcPr>
                  <w:tcW w:w="2603" w:type="dxa"/>
                  <w:shd w:val="clear" w:color="auto" w:fill="auto"/>
                  <w:hideMark/>
                </w:tcPr>
                <w:p w14:paraId="3215BDAF" w14:textId="0EE6259A" w:rsidR="00DE1309" w:rsidRPr="002460E2" w:rsidRDefault="00DE1309" w:rsidP="00DE1309">
                  <w:pPr>
                    <w:rPr>
                      <w:sz w:val="18"/>
                      <w:szCs w:val="18"/>
                      <w:lang w:val="en-US"/>
                    </w:rPr>
                  </w:pPr>
                  <w:r w:rsidRPr="002460E2">
                    <w:rPr>
                      <w:sz w:val="18"/>
                      <w:szCs w:val="18"/>
                      <w:lang w:val="en-US"/>
                    </w:rPr>
                    <w:t>este egal cu 1 atunci când cele două puncte ale sensibilităților k și l sunt identice, iar în caz contrar este egal cu 90 %;</w:t>
                  </w:r>
                </w:p>
              </w:tc>
            </w:tr>
          </w:tbl>
          <w:p w14:paraId="24F50020" w14:textId="77777777" w:rsidR="00DE1309" w:rsidRPr="002460E2" w:rsidRDefault="00DE1309" w:rsidP="00DE1309">
            <w:pPr>
              <w:rPr>
                <w:vanish/>
                <w:sz w:val="18"/>
                <w:szCs w:val="18"/>
              </w:rPr>
            </w:pPr>
          </w:p>
          <w:tbl>
            <w:tblPr>
              <w:tblW w:w="3431" w:type="dxa"/>
              <w:tblLayout w:type="fixed"/>
              <w:tblCellMar>
                <w:left w:w="0" w:type="dxa"/>
                <w:right w:w="0" w:type="dxa"/>
              </w:tblCellMar>
              <w:tblLook w:val="04A0" w:firstRow="1" w:lastRow="0" w:firstColumn="1" w:lastColumn="0" w:noHBand="0" w:noVBand="1"/>
            </w:tblPr>
            <w:tblGrid>
              <w:gridCol w:w="691"/>
              <w:gridCol w:w="2740"/>
            </w:tblGrid>
            <w:tr w:rsidR="00DE1309" w:rsidRPr="002460E2" w14:paraId="72295FF6" w14:textId="77777777" w:rsidTr="00D448B2">
              <w:trPr>
                <w:trHeight w:val="1054"/>
              </w:trPr>
              <w:tc>
                <w:tcPr>
                  <w:tcW w:w="691" w:type="dxa"/>
                  <w:shd w:val="clear" w:color="auto" w:fill="auto"/>
                  <w:hideMark/>
                </w:tcPr>
                <w:p w14:paraId="6612931B" w14:textId="77777777" w:rsidR="00DE1309" w:rsidRPr="002460E2" w:rsidRDefault="00DE1309" w:rsidP="00DE1309">
                  <w:pPr>
                    <w:rPr>
                      <w:sz w:val="18"/>
                      <w:szCs w:val="18"/>
                    </w:rPr>
                  </w:pPr>
                  <w:r w:rsidRPr="002460E2">
                    <w:rPr>
                      <w:noProof/>
                      <w:sz w:val="18"/>
                      <w:szCs w:val="18"/>
                    </w:rPr>
                    <w:drawing>
                      <wp:inline distT="0" distB="0" distL="0" distR="0" wp14:anchorId="3931B0BB" wp14:editId="4255BD1E">
                        <wp:extent cx="464389" cy="246491"/>
                        <wp:effectExtent l="0" t="0" r="0" b="1270"/>
                        <wp:docPr id="150" name="Pictur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5727" cy="257817"/>
                                </a:xfrm>
                                <a:prstGeom prst="rect">
                                  <a:avLst/>
                                </a:prstGeom>
                                <a:noFill/>
                                <a:ln>
                                  <a:noFill/>
                                </a:ln>
                              </pic:spPr>
                            </pic:pic>
                          </a:graphicData>
                        </a:graphic>
                      </wp:inline>
                    </w:drawing>
                  </w:r>
                </w:p>
              </w:tc>
              <w:tc>
                <w:tcPr>
                  <w:tcW w:w="2740" w:type="dxa"/>
                  <w:shd w:val="clear" w:color="auto" w:fill="auto"/>
                  <w:hideMark/>
                </w:tcPr>
                <w:p w14:paraId="30922886" w14:textId="08AB4003" w:rsidR="00DE1309" w:rsidRPr="002460E2" w:rsidRDefault="00DE1309" w:rsidP="00DE1309">
                  <w:pPr>
                    <w:rPr>
                      <w:sz w:val="18"/>
                      <w:szCs w:val="18"/>
                      <w:lang w:val="en-US"/>
                    </w:rPr>
                  </w:pPr>
                  <w:r w:rsidRPr="002460E2">
                    <w:rPr>
                      <w:sz w:val="18"/>
                      <w:szCs w:val="18"/>
                      <w:lang w:val="en-US"/>
                    </w:rPr>
                    <w:t>este egal cu 1 atunci când cele două nume ale sensibilităților k și l sunt identice, 90 % dacă cele două nume sunt distincte, dar legate juridic, iar în caz contrar este egal cu 50 %;</w:t>
                  </w:r>
                </w:p>
              </w:tc>
            </w:tr>
          </w:tbl>
          <w:p w14:paraId="385364EB" w14:textId="77777777" w:rsidR="00DE1309" w:rsidRPr="002460E2" w:rsidRDefault="00DE1309" w:rsidP="00DE1309">
            <w:pPr>
              <w:rPr>
                <w:vanish/>
                <w:sz w:val="18"/>
                <w:szCs w:val="18"/>
              </w:rPr>
            </w:pPr>
          </w:p>
          <w:tbl>
            <w:tblPr>
              <w:tblW w:w="3289" w:type="dxa"/>
              <w:tblLayout w:type="fixed"/>
              <w:tblCellMar>
                <w:left w:w="0" w:type="dxa"/>
                <w:right w:w="0" w:type="dxa"/>
              </w:tblCellMar>
              <w:tblLook w:val="04A0" w:firstRow="1" w:lastRow="0" w:firstColumn="1" w:lastColumn="0" w:noHBand="0" w:noVBand="1"/>
            </w:tblPr>
            <w:tblGrid>
              <w:gridCol w:w="453"/>
              <w:gridCol w:w="2836"/>
            </w:tblGrid>
            <w:tr w:rsidR="00DE1309" w:rsidRPr="002460E2" w14:paraId="1B1B1E8F" w14:textId="77777777" w:rsidTr="00D448B2">
              <w:trPr>
                <w:trHeight w:val="823"/>
              </w:trPr>
              <w:tc>
                <w:tcPr>
                  <w:tcW w:w="453" w:type="dxa"/>
                  <w:shd w:val="clear" w:color="auto" w:fill="auto"/>
                  <w:hideMark/>
                </w:tcPr>
                <w:p w14:paraId="72534B48" w14:textId="77777777" w:rsidR="00DE1309" w:rsidRPr="002460E2" w:rsidRDefault="00DE1309" w:rsidP="00DE1309">
                  <w:pPr>
                    <w:rPr>
                      <w:sz w:val="18"/>
                      <w:szCs w:val="18"/>
                    </w:rPr>
                  </w:pPr>
                  <w:r w:rsidRPr="002460E2">
                    <w:rPr>
                      <w:noProof/>
                      <w:sz w:val="18"/>
                      <w:szCs w:val="18"/>
                    </w:rPr>
                    <w:drawing>
                      <wp:inline distT="0" distB="0" distL="0" distR="0" wp14:anchorId="6E44F0CD" wp14:editId="0BD0A4C2">
                        <wp:extent cx="292478" cy="136187"/>
                        <wp:effectExtent l="0" t="0" r="0" b="0"/>
                        <wp:docPr id="151" name="Pictur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1140" cy="149533"/>
                                </a:xfrm>
                                <a:prstGeom prst="rect">
                                  <a:avLst/>
                                </a:prstGeom>
                                <a:noFill/>
                                <a:ln>
                                  <a:noFill/>
                                </a:ln>
                              </pic:spPr>
                            </pic:pic>
                          </a:graphicData>
                        </a:graphic>
                      </wp:inline>
                    </w:drawing>
                  </w:r>
                </w:p>
              </w:tc>
              <w:tc>
                <w:tcPr>
                  <w:tcW w:w="2836" w:type="dxa"/>
                  <w:shd w:val="clear" w:color="auto" w:fill="auto"/>
                  <w:hideMark/>
                </w:tcPr>
                <w:p w14:paraId="607F9F9C" w14:textId="484790A5" w:rsidR="00DE1309" w:rsidRPr="002460E2" w:rsidRDefault="00DE1309" w:rsidP="00DE1309">
                  <w:pPr>
                    <w:ind w:left="277"/>
                    <w:rPr>
                      <w:sz w:val="18"/>
                      <w:szCs w:val="18"/>
                      <w:lang w:val="en-US"/>
                    </w:rPr>
                  </w:pPr>
                  <w:r w:rsidRPr="002460E2">
                    <w:rPr>
                      <w:sz w:val="18"/>
                      <w:szCs w:val="18"/>
                      <w:lang w:val="en-US"/>
                    </w:rPr>
                    <w:t>este egal cu 1 atunci când cele două nume sunt ambele în benzile 1-10, sunt ambele în benzile 12-18 sau sunt ambele în banda 20, iar în caz contrar este egal cu 80 %.</w:t>
                  </w:r>
                </w:p>
              </w:tc>
            </w:tr>
          </w:tbl>
          <w:p w14:paraId="64B59CD5" w14:textId="77777777" w:rsidR="00DE1309" w:rsidRPr="002460E2" w:rsidRDefault="00DE1309" w:rsidP="00DE1309">
            <w:pPr>
              <w:jc w:val="center"/>
              <w:rPr>
                <w:bCs/>
                <w:i/>
                <w:iCs/>
                <w:sz w:val="18"/>
                <w:szCs w:val="18"/>
                <w:lang w:val="en-US" w:eastAsia="en-US"/>
              </w:rPr>
            </w:pPr>
          </w:p>
        </w:tc>
        <w:tc>
          <w:tcPr>
            <w:tcW w:w="1229" w:type="dxa"/>
          </w:tcPr>
          <w:p w14:paraId="264E77AA" w14:textId="7F24EB37"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2B5177E5" w14:textId="77777777" w:rsidR="00DE1309" w:rsidRPr="002460E2" w:rsidRDefault="00DE1309" w:rsidP="00DE1309">
            <w:pPr>
              <w:jc w:val="both"/>
              <w:rPr>
                <w:sz w:val="18"/>
                <w:szCs w:val="18"/>
                <w:lang w:val="ro-MD"/>
              </w:rPr>
            </w:pPr>
          </w:p>
        </w:tc>
      </w:tr>
      <w:tr w:rsidR="00DE1309" w:rsidRPr="002460E2" w14:paraId="48BF9839" w14:textId="77777777" w:rsidTr="003F5B3C">
        <w:trPr>
          <w:trHeight w:val="1987"/>
        </w:trPr>
        <w:tc>
          <w:tcPr>
            <w:tcW w:w="4253" w:type="dxa"/>
          </w:tcPr>
          <w:p w14:paraId="052CEAB1" w14:textId="563ECB99" w:rsidR="00DE1309" w:rsidRPr="002460E2" w:rsidRDefault="00DE1309" w:rsidP="00DE1309">
            <w:pPr>
              <w:rPr>
                <w:sz w:val="18"/>
                <w:szCs w:val="18"/>
                <w:lang w:val="en-US"/>
              </w:rPr>
            </w:pPr>
            <w:r w:rsidRPr="002460E2">
              <w:rPr>
                <w:sz w:val="18"/>
                <w:szCs w:val="18"/>
                <w:lang w:val="en-US"/>
              </w:rPr>
              <w:lastRenderedPageBreak/>
              <w:t>(2) Între două sensibilități </w:t>
            </w:r>
            <w:r w:rsidRPr="002460E2">
              <w:rPr>
                <w:i/>
                <w:iCs/>
                <w:sz w:val="18"/>
                <w:szCs w:val="18"/>
                <w:lang w:val="en-US"/>
              </w:rPr>
              <w:t>WS</w:t>
            </w:r>
            <w:r w:rsidRPr="002460E2">
              <w:rPr>
                <w:i/>
                <w:iCs/>
                <w:sz w:val="18"/>
                <w:szCs w:val="18"/>
                <w:vertAlign w:val="subscript"/>
                <w:lang w:val="en-US"/>
              </w:rPr>
              <w:t>k</w:t>
            </w:r>
            <w:r w:rsidRPr="002460E2">
              <w:rPr>
                <w:i/>
                <w:iCs/>
                <w:sz w:val="18"/>
                <w:szCs w:val="18"/>
                <w:lang w:val="en-US"/>
              </w:rPr>
              <w:t> </w:t>
            </w:r>
            <w:r w:rsidRPr="002460E2">
              <w:rPr>
                <w:sz w:val="18"/>
                <w:szCs w:val="18"/>
                <w:lang w:val="en-US"/>
              </w:rPr>
              <w:t>și </w:t>
            </w:r>
            <w:r w:rsidRPr="002460E2">
              <w:rPr>
                <w:i/>
                <w:iCs/>
                <w:sz w:val="18"/>
                <w:szCs w:val="18"/>
                <w:lang w:val="en-US"/>
              </w:rPr>
              <w:t>WS</w:t>
            </w:r>
            <w:r w:rsidRPr="002460E2">
              <w:rPr>
                <w:i/>
                <w:iCs/>
                <w:sz w:val="18"/>
                <w:szCs w:val="18"/>
                <w:vertAlign w:val="subscript"/>
                <w:lang w:val="en-US"/>
              </w:rPr>
              <w:t>l</w:t>
            </w:r>
            <w:r w:rsidRPr="002460E2">
              <w:rPr>
                <w:i/>
                <w:iCs/>
                <w:sz w:val="18"/>
                <w:szCs w:val="18"/>
                <w:lang w:val="en-US"/>
              </w:rPr>
              <w:t> </w:t>
            </w:r>
            <w:r w:rsidRPr="002460E2">
              <w:rPr>
                <w:sz w:val="18"/>
                <w:szCs w:val="18"/>
                <w:lang w:val="en-US"/>
              </w:rPr>
              <w:t>, care rezultă din expuneri la risc atribuite benzilor sectoriale 11 și 19, parametrul de corelație </w:t>
            </w:r>
            <w:r w:rsidRPr="002460E2">
              <w:rPr>
                <w:i/>
                <w:iCs/>
                <w:sz w:val="18"/>
                <w:szCs w:val="18"/>
              </w:rPr>
              <w:t>ρ</w:t>
            </w:r>
            <w:r w:rsidRPr="002460E2">
              <w:rPr>
                <w:i/>
                <w:iCs/>
                <w:sz w:val="18"/>
                <w:szCs w:val="18"/>
                <w:vertAlign w:val="subscript"/>
                <w:lang w:val="en-US"/>
              </w:rPr>
              <w:t>kl</w:t>
            </w:r>
            <w:r w:rsidRPr="002460E2">
              <w:rPr>
                <w:i/>
                <w:iCs/>
                <w:sz w:val="18"/>
                <w:szCs w:val="18"/>
                <w:lang w:val="en-US"/>
              </w:rPr>
              <w:t> </w:t>
            </w:r>
            <w:r w:rsidRPr="002460E2">
              <w:rPr>
                <w:sz w:val="18"/>
                <w:szCs w:val="18"/>
                <w:lang w:val="en-US"/>
              </w:rPr>
              <w:t>se stabilește după cum urmează:</w:t>
            </w:r>
          </w:p>
          <w:p w14:paraId="27342DB1" w14:textId="77777777" w:rsidR="00DE1309" w:rsidRPr="002460E2" w:rsidRDefault="00DE1309" w:rsidP="00DE1309">
            <w:pPr>
              <w:rPr>
                <w:sz w:val="18"/>
                <w:szCs w:val="18"/>
              </w:rPr>
            </w:pPr>
            <w:r w:rsidRPr="002460E2">
              <w:rPr>
                <w:noProof/>
                <w:sz w:val="18"/>
                <w:szCs w:val="18"/>
              </w:rPr>
              <w:drawing>
                <wp:inline distT="0" distB="0" distL="0" distR="0" wp14:anchorId="5734F4DD" wp14:editId="3A938577">
                  <wp:extent cx="2324688" cy="286247"/>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67269" cy="291490"/>
                          </a:xfrm>
                          <a:prstGeom prst="rect">
                            <a:avLst/>
                          </a:prstGeom>
                          <a:noFill/>
                          <a:ln>
                            <a:noFill/>
                          </a:ln>
                        </pic:spPr>
                      </pic:pic>
                    </a:graphicData>
                  </a:graphic>
                </wp:inline>
              </w:drawing>
            </w:r>
          </w:p>
          <w:p w14:paraId="17C9AB48" w14:textId="77777777" w:rsidR="00DE1309" w:rsidRPr="002460E2" w:rsidRDefault="00DE1309" w:rsidP="00DE1309">
            <w:pPr>
              <w:rPr>
                <w:sz w:val="18"/>
                <w:szCs w:val="18"/>
              </w:rPr>
            </w:pPr>
            <w:r w:rsidRPr="002460E2">
              <w:rPr>
                <w:sz w:val="18"/>
                <w:szCs w:val="18"/>
              </w:rPr>
              <w:t>unde:</w:t>
            </w:r>
          </w:p>
          <w:tbl>
            <w:tblPr>
              <w:tblW w:w="5995" w:type="dxa"/>
              <w:tblLayout w:type="fixed"/>
              <w:tblCellMar>
                <w:left w:w="0" w:type="dxa"/>
                <w:right w:w="0" w:type="dxa"/>
              </w:tblCellMar>
              <w:tblLook w:val="04A0" w:firstRow="1" w:lastRow="0" w:firstColumn="1" w:lastColumn="0" w:noHBand="0" w:noVBand="1"/>
            </w:tblPr>
            <w:tblGrid>
              <w:gridCol w:w="838"/>
              <w:gridCol w:w="5157"/>
            </w:tblGrid>
            <w:tr w:rsidR="00DE1309" w:rsidRPr="002460E2" w14:paraId="4C4803CB" w14:textId="77777777" w:rsidTr="001830C7">
              <w:trPr>
                <w:trHeight w:val="1197"/>
              </w:trPr>
              <w:tc>
                <w:tcPr>
                  <w:tcW w:w="838" w:type="dxa"/>
                  <w:shd w:val="clear" w:color="auto" w:fill="auto"/>
                  <w:hideMark/>
                </w:tcPr>
                <w:p w14:paraId="2EBCA3AD" w14:textId="77777777" w:rsidR="00DE1309" w:rsidRPr="002460E2" w:rsidRDefault="00DE1309" w:rsidP="00DE1309">
                  <w:pPr>
                    <w:rPr>
                      <w:sz w:val="18"/>
                      <w:szCs w:val="18"/>
                    </w:rPr>
                  </w:pPr>
                  <w:r w:rsidRPr="002460E2">
                    <w:rPr>
                      <w:noProof/>
                      <w:sz w:val="18"/>
                      <w:szCs w:val="18"/>
                    </w:rPr>
                    <w:drawing>
                      <wp:inline distT="0" distB="0" distL="0" distR="0" wp14:anchorId="6D3A878A" wp14:editId="02816F32">
                        <wp:extent cx="530834" cy="206733"/>
                        <wp:effectExtent l="0" t="0" r="3175" b="317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5066" cy="212276"/>
                                </a:xfrm>
                                <a:prstGeom prst="rect">
                                  <a:avLst/>
                                </a:prstGeom>
                                <a:noFill/>
                                <a:ln>
                                  <a:noFill/>
                                </a:ln>
                              </pic:spPr>
                            </pic:pic>
                          </a:graphicData>
                        </a:graphic>
                      </wp:inline>
                    </w:drawing>
                  </w:r>
                </w:p>
              </w:tc>
              <w:tc>
                <w:tcPr>
                  <w:tcW w:w="5157" w:type="dxa"/>
                  <w:shd w:val="clear" w:color="auto" w:fill="auto"/>
                  <w:hideMark/>
                </w:tcPr>
                <w:p w14:paraId="796865AD" w14:textId="77777777" w:rsidR="00DE1309" w:rsidRPr="002460E2" w:rsidRDefault="00DE1309" w:rsidP="00DE1309">
                  <w:pPr>
                    <w:rPr>
                      <w:sz w:val="18"/>
                      <w:szCs w:val="18"/>
                      <w:lang w:val="en-US"/>
                    </w:rPr>
                  </w:pPr>
                  <w:r w:rsidRPr="002460E2">
                    <w:rPr>
                      <w:sz w:val="18"/>
                      <w:szCs w:val="18"/>
                      <w:lang w:val="en-US"/>
                    </w:rPr>
                    <w:t xml:space="preserve">este egal cu 1 atunci când cele două puncte </w:t>
                  </w:r>
                </w:p>
                <w:p w14:paraId="7FE64AAC" w14:textId="77777777" w:rsidR="00DE1309" w:rsidRPr="002460E2" w:rsidRDefault="00DE1309" w:rsidP="00DE1309">
                  <w:pPr>
                    <w:rPr>
                      <w:sz w:val="18"/>
                      <w:szCs w:val="18"/>
                      <w:lang w:val="en-US"/>
                    </w:rPr>
                  </w:pPr>
                  <w:r w:rsidRPr="002460E2">
                    <w:rPr>
                      <w:sz w:val="18"/>
                      <w:szCs w:val="18"/>
                      <w:lang w:val="en-US"/>
                    </w:rPr>
                    <w:t xml:space="preserve">ale sensibilităților k și l sunt identice, iar în </w:t>
                  </w:r>
                </w:p>
                <w:p w14:paraId="15DFF85F" w14:textId="35119DFA" w:rsidR="00DE1309" w:rsidRPr="002460E2" w:rsidRDefault="00DE1309" w:rsidP="00DE1309">
                  <w:pPr>
                    <w:rPr>
                      <w:sz w:val="18"/>
                      <w:szCs w:val="18"/>
                      <w:lang w:val="en-US"/>
                    </w:rPr>
                  </w:pPr>
                  <w:r w:rsidRPr="002460E2">
                    <w:rPr>
                      <w:sz w:val="18"/>
                      <w:szCs w:val="18"/>
                      <w:lang w:val="en-US"/>
                    </w:rPr>
                    <w:t>caz contrar este egal cu 90 %;</w:t>
                  </w:r>
                </w:p>
              </w:tc>
            </w:tr>
          </w:tbl>
          <w:p w14:paraId="01C64DD4" w14:textId="77777777" w:rsidR="00DE1309" w:rsidRPr="002460E2" w:rsidRDefault="00DE1309" w:rsidP="00DE1309">
            <w:pPr>
              <w:rPr>
                <w:vanish/>
                <w:sz w:val="18"/>
                <w:szCs w:val="18"/>
              </w:rPr>
            </w:pPr>
          </w:p>
          <w:tbl>
            <w:tblPr>
              <w:tblW w:w="7288" w:type="dxa"/>
              <w:tblLayout w:type="fixed"/>
              <w:tblCellMar>
                <w:left w:w="0" w:type="dxa"/>
                <w:right w:w="0" w:type="dxa"/>
              </w:tblCellMar>
              <w:tblLook w:val="04A0" w:firstRow="1" w:lastRow="0" w:firstColumn="1" w:lastColumn="0" w:noHBand="0" w:noVBand="1"/>
            </w:tblPr>
            <w:tblGrid>
              <w:gridCol w:w="859"/>
              <w:gridCol w:w="6429"/>
            </w:tblGrid>
            <w:tr w:rsidR="00DE1309" w:rsidRPr="002460E2" w14:paraId="254A9997" w14:textId="77777777" w:rsidTr="001830C7">
              <w:trPr>
                <w:trHeight w:val="1242"/>
              </w:trPr>
              <w:tc>
                <w:tcPr>
                  <w:tcW w:w="859" w:type="dxa"/>
                  <w:shd w:val="clear" w:color="auto" w:fill="auto"/>
                  <w:hideMark/>
                </w:tcPr>
                <w:p w14:paraId="2FA471A4" w14:textId="77777777" w:rsidR="00DE1309" w:rsidRPr="002460E2" w:rsidRDefault="00DE1309" w:rsidP="00DE1309">
                  <w:pPr>
                    <w:rPr>
                      <w:sz w:val="18"/>
                      <w:szCs w:val="18"/>
                    </w:rPr>
                  </w:pPr>
                  <w:r w:rsidRPr="002460E2">
                    <w:rPr>
                      <w:noProof/>
                      <w:sz w:val="18"/>
                      <w:szCs w:val="18"/>
                    </w:rPr>
                    <w:drawing>
                      <wp:inline distT="0" distB="0" distL="0" distR="0" wp14:anchorId="27810D4D" wp14:editId="32114243">
                        <wp:extent cx="509332" cy="270345"/>
                        <wp:effectExtent l="0" t="0" r="508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1179" cy="281941"/>
                                </a:xfrm>
                                <a:prstGeom prst="rect">
                                  <a:avLst/>
                                </a:prstGeom>
                                <a:noFill/>
                                <a:ln>
                                  <a:noFill/>
                                </a:ln>
                              </pic:spPr>
                            </pic:pic>
                          </a:graphicData>
                        </a:graphic>
                      </wp:inline>
                    </w:drawing>
                  </w:r>
                </w:p>
              </w:tc>
              <w:tc>
                <w:tcPr>
                  <w:tcW w:w="6429" w:type="dxa"/>
                  <w:shd w:val="clear" w:color="auto" w:fill="auto"/>
                  <w:hideMark/>
                </w:tcPr>
                <w:p w14:paraId="44CDD5B8" w14:textId="77777777" w:rsidR="00DE1309" w:rsidRPr="002460E2" w:rsidRDefault="00DE1309" w:rsidP="00DE1309">
                  <w:pPr>
                    <w:rPr>
                      <w:sz w:val="18"/>
                      <w:szCs w:val="18"/>
                      <w:lang w:val="en-US"/>
                    </w:rPr>
                  </w:pPr>
                  <w:r w:rsidRPr="002460E2">
                    <w:rPr>
                      <w:sz w:val="18"/>
                      <w:szCs w:val="18"/>
                      <w:lang w:val="en-US"/>
                    </w:rPr>
                    <w:t xml:space="preserve">este egal cu 1 atunci când cele două nume ale </w:t>
                  </w:r>
                </w:p>
                <w:p w14:paraId="6236C7AA" w14:textId="77777777" w:rsidR="00DE1309" w:rsidRPr="002460E2" w:rsidRDefault="00DE1309" w:rsidP="00DE1309">
                  <w:pPr>
                    <w:rPr>
                      <w:sz w:val="18"/>
                      <w:szCs w:val="18"/>
                      <w:lang w:val="en-US"/>
                    </w:rPr>
                  </w:pPr>
                  <w:r w:rsidRPr="002460E2">
                    <w:rPr>
                      <w:sz w:val="18"/>
                      <w:szCs w:val="18"/>
                      <w:lang w:val="en-US"/>
                    </w:rPr>
                    <w:t xml:space="preserve">sensibilităților k și l sunt identice și cei doi </w:t>
                  </w:r>
                </w:p>
                <w:p w14:paraId="30BC34D5" w14:textId="77777777" w:rsidR="00DE1309" w:rsidRPr="002460E2" w:rsidRDefault="00DE1309" w:rsidP="00DE1309">
                  <w:pPr>
                    <w:rPr>
                      <w:sz w:val="18"/>
                      <w:szCs w:val="18"/>
                      <w:lang w:val="en-US"/>
                    </w:rPr>
                  </w:pPr>
                  <w:r w:rsidRPr="002460E2">
                    <w:rPr>
                      <w:sz w:val="18"/>
                      <w:szCs w:val="18"/>
                      <w:lang w:val="en-US"/>
                    </w:rPr>
                    <w:t xml:space="preserve">indici fac parte din aceeași serie, 90 % dacă </w:t>
                  </w:r>
                </w:p>
                <w:p w14:paraId="562D28CE" w14:textId="77777777" w:rsidR="00DE1309" w:rsidRPr="002460E2" w:rsidRDefault="00DE1309" w:rsidP="00DE1309">
                  <w:pPr>
                    <w:rPr>
                      <w:sz w:val="18"/>
                      <w:szCs w:val="18"/>
                      <w:lang w:val="en-US"/>
                    </w:rPr>
                  </w:pPr>
                  <w:r w:rsidRPr="002460E2">
                    <w:rPr>
                      <w:sz w:val="18"/>
                      <w:szCs w:val="18"/>
                      <w:lang w:val="en-US"/>
                    </w:rPr>
                    <w:t>cei doi indici sunt aceiași, dar din serii diferite,</w:t>
                  </w:r>
                </w:p>
                <w:p w14:paraId="52A88030" w14:textId="36FE55C5" w:rsidR="00DE1309" w:rsidRPr="002460E2" w:rsidRDefault="00DE1309" w:rsidP="00DE1309">
                  <w:pPr>
                    <w:rPr>
                      <w:sz w:val="18"/>
                      <w:szCs w:val="18"/>
                      <w:lang w:val="en-US"/>
                    </w:rPr>
                  </w:pPr>
                  <w:r w:rsidRPr="002460E2">
                    <w:rPr>
                      <w:sz w:val="18"/>
                      <w:szCs w:val="18"/>
                      <w:lang w:val="en-US"/>
                    </w:rPr>
                    <w:t xml:space="preserve"> iar în caz contrar este egal cu 80 %;</w:t>
                  </w:r>
                </w:p>
              </w:tc>
            </w:tr>
          </w:tbl>
          <w:p w14:paraId="39F2FBC4" w14:textId="77777777" w:rsidR="00DE1309" w:rsidRPr="002460E2" w:rsidRDefault="00DE1309" w:rsidP="00DE1309">
            <w:pPr>
              <w:rPr>
                <w:vanish/>
                <w:sz w:val="18"/>
                <w:szCs w:val="18"/>
              </w:rPr>
            </w:pPr>
          </w:p>
          <w:tbl>
            <w:tblPr>
              <w:tblW w:w="6058" w:type="dxa"/>
              <w:tblLayout w:type="fixed"/>
              <w:tblCellMar>
                <w:left w:w="0" w:type="dxa"/>
                <w:right w:w="0" w:type="dxa"/>
              </w:tblCellMar>
              <w:tblLook w:val="04A0" w:firstRow="1" w:lastRow="0" w:firstColumn="1" w:lastColumn="0" w:noHBand="0" w:noVBand="1"/>
            </w:tblPr>
            <w:tblGrid>
              <w:gridCol w:w="809"/>
              <w:gridCol w:w="5249"/>
            </w:tblGrid>
            <w:tr w:rsidR="00DE1309" w:rsidRPr="002460E2" w14:paraId="369A4424" w14:textId="77777777" w:rsidTr="001830C7">
              <w:trPr>
                <w:trHeight w:val="873"/>
              </w:trPr>
              <w:tc>
                <w:tcPr>
                  <w:tcW w:w="809" w:type="dxa"/>
                  <w:shd w:val="clear" w:color="auto" w:fill="auto"/>
                  <w:hideMark/>
                </w:tcPr>
                <w:p w14:paraId="39B153BD" w14:textId="77777777" w:rsidR="00DE1309" w:rsidRPr="002460E2" w:rsidRDefault="00DE1309" w:rsidP="00DE1309">
                  <w:pPr>
                    <w:rPr>
                      <w:sz w:val="18"/>
                      <w:szCs w:val="18"/>
                    </w:rPr>
                  </w:pPr>
                  <w:r w:rsidRPr="002460E2">
                    <w:rPr>
                      <w:noProof/>
                      <w:sz w:val="18"/>
                      <w:szCs w:val="18"/>
                    </w:rPr>
                    <w:drawing>
                      <wp:inline distT="0" distB="0" distL="0" distR="0" wp14:anchorId="0A1FE8DE" wp14:editId="5357D00E">
                        <wp:extent cx="495217" cy="230588"/>
                        <wp:effectExtent l="0" t="0" r="635"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2220" cy="243161"/>
                                </a:xfrm>
                                <a:prstGeom prst="rect">
                                  <a:avLst/>
                                </a:prstGeom>
                                <a:noFill/>
                                <a:ln>
                                  <a:noFill/>
                                </a:ln>
                              </pic:spPr>
                            </pic:pic>
                          </a:graphicData>
                        </a:graphic>
                      </wp:inline>
                    </w:drawing>
                  </w:r>
                </w:p>
              </w:tc>
              <w:tc>
                <w:tcPr>
                  <w:tcW w:w="5249" w:type="dxa"/>
                  <w:shd w:val="clear" w:color="auto" w:fill="auto"/>
                  <w:hideMark/>
                </w:tcPr>
                <w:p w14:paraId="2594D04F" w14:textId="77777777" w:rsidR="00DE1309" w:rsidRPr="002460E2" w:rsidRDefault="00DE1309" w:rsidP="00DE1309">
                  <w:pPr>
                    <w:rPr>
                      <w:sz w:val="18"/>
                      <w:szCs w:val="18"/>
                      <w:lang w:val="en-US"/>
                    </w:rPr>
                  </w:pPr>
                  <w:r w:rsidRPr="002460E2">
                    <w:rPr>
                      <w:sz w:val="18"/>
                      <w:szCs w:val="18"/>
                      <w:lang w:val="en-US"/>
                    </w:rPr>
                    <w:t>este egal cu 1 atunci când cele două nume sunt</w:t>
                  </w:r>
                </w:p>
                <w:p w14:paraId="2850957E" w14:textId="77777777" w:rsidR="00DE1309" w:rsidRPr="002460E2" w:rsidRDefault="00DE1309" w:rsidP="00DE1309">
                  <w:pPr>
                    <w:rPr>
                      <w:sz w:val="18"/>
                      <w:szCs w:val="18"/>
                      <w:lang w:val="en-US"/>
                    </w:rPr>
                  </w:pPr>
                  <w:r w:rsidRPr="002460E2">
                    <w:rPr>
                      <w:sz w:val="18"/>
                      <w:szCs w:val="18"/>
                      <w:lang w:val="en-US"/>
                    </w:rPr>
                    <w:t xml:space="preserve"> ambele în banda 11 sau ambele în banda 19, </w:t>
                  </w:r>
                </w:p>
                <w:p w14:paraId="62E642B7" w14:textId="590823C1" w:rsidR="00DE1309" w:rsidRPr="002460E2" w:rsidRDefault="00DE1309" w:rsidP="00DE1309">
                  <w:pPr>
                    <w:rPr>
                      <w:sz w:val="18"/>
                      <w:szCs w:val="18"/>
                      <w:lang w:val="en-US"/>
                    </w:rPr>
                  </w:pPr>
                  <w:r w:rsidRPr="002460E2">
                    <w:rPr>
                      <w:sz w:val="18"/>
                      <w:szCs w:val="18"/>
                      <w:lang w:val="en-US"/>
                    </w:rPr>
                    <w:t>iar în caz contrar este egal cu 80 %.</w:t>
                  </w:r>
                </w:p>
              </w:tc>
            </w:tr>
          </w:tbl>
          <w:p w14:paraId="24AA7170" w14:textId="77777777" w:rsidR="00DE1309" w:rsidRPr="002460E2" w:rsidRDefault="00DE1309" w:rsidP="00DE1309">
            <w:pPr>
              <w:rPr>
                <w:i/>
                <w:iCs/>
                <w:sz w:val="18"/>
                <w:szCs w:val="18"/>
                <w:lang w:val="en-US"/>
              </w:rPr>
            </w:pPr>
          </w:p>
        </w:tc>
        <w:tc>
          <w:tcPr>
            <w:tcW w:w="3685" w:type="dxa"/>
            <w:shd w:val="clear" w:color="auto" w:fill="auto"/>
          </w:tcPr>
          <w:p w14:paraId="63C7A75A" w14:textId="2E74B9DB" w:rsidR="00DE1309" w:rsidRPr="002460E2" w:rsidRDefault="00C40F9E" w:rsidP="00DE1309">
            <w:pPr>
              <w:rPr>
                <w:rFonts w:eastAsia="Calibri"/>
                <w:kern w:val="2"/>
                <w:sz w:val="18"/>
                <w:szCs w:val="18"/>
                <w:lang w:val="ro-MD"/>
              </w:rPr>
            </w:pPr>
            <w:r w:rsidRPr="002460E2">
              <w:rPr>
                <w:rFonts w:eastAsia="Calibri"/>
                <w:kern w:val="2"/>
                <w:sz w:val="18"/>
                <w:szCs w:val="18"/>
                <w:lang w:val="ro-MD"/>
              </w:rPr>
              <w:t>100</w:t>
            </w:r>
            <w:r w:rsidR="00DE1309" w:rsidRPr="002460E2">
              <w:rPr>
                <w:rFonts w:eastAsia="Calibri"/>
                <w:kern w:val="2"/>
                <w:sz w:val="18"/>
                <w:szCs w:val="18"/>
                <w:lang w:val="ro-MD"/>
              </w:rPr>
              <w:t>. Între două sensibilități </w:t>
            </w:r>
            <w:r w:rsidR="00DE1309" w:rsidRPr="002460E2">
              <w:rPr>
                <w:rFonts w:eastAsia="Calibri"/>
                <w:i/>
                <w:iCs/>
                <w:kern w:val="2"/>
                <w:sz w:val="18"/>
                <w:szCs w:val="18"/>
                <w:lang w:val="ro-MD"/>
              </w:rPr>
              <w:t>WS</w:t>
            </w:r>
            <w:r w:rsidR="00DE1309" w:rsidRPr="002460E2">
              <w:rPr>
                <w:rFonts w:eastAsia="Calibri"/>
                <w:i/>
                <w:iCs/>
                <w:kern w:val="2"/>
                <w:sz w:val="18"/>
                <w:szCs w:val="18"/>
                <w:vertAlign w:val="subscript"/>
                <w:lang w:val="ro-MD"/>
              </w:rPr>
              <w:t>k</w:t>
            </w:r>
            <w:r w:rsidR="00DE1309" w:rsidRPr="002460E2">
              <w:rPr>
                <w:rFonts w:eastAsia="Calibri"/>
                <w:i/>
                <w:iCs/>
                <w:kern w:val="2"/>
                <w:sz w:val="18"/>
                <w:szCs w:val="18"/>
                <w:lang w:val="ro-MD"/>
              </w:rPr>
              <w:t> </w:t>
            </w:r>
            <w:r w:rsidR="00DE1309" w:rsidRPr="002460E2">
              <w:rPr>
                <w:rFonts w:eastAsia="Calibri"/>
                <w:kern w:val="2"/>
                <w:sz w:val="18"/>
                <w:szCs w:val="18"/>
                <w:lang w:val="ro-MD"/>
              </w:rPr>
              <w:t>și </w:t>
            </w:r>
            <w:r w:rsidR="00DE1309" w:rsidRPr="002460E2">
              <w:rPr>
                <w:rFonts w:eastAsia="Calibri"/>
                <w:i/>
                <w:iCs/>
                <w:kern w:val="2"/>
                <w:sz w:val="18"/>
                <w:szCs w:val="18"/>
                <w:lang w:val="ro-MD"/>
              </w:rPr>
              <w:t>WS</w:t>
            </w:r>
            <w:r w:rsidR="00DE1309" w:rsidRPr="002460E2">
              <w:rPr>
                <w:rFonts w:eastAsia="Calibri"/>
                <w:i/>
                <w:iCs/>
                <w:kern w:val="2"/>
                <w:sz w:val="18"/>
                <w:szCs w:val="18"/>
                <w:vertAlign w:val="subscript"/>
                <w:lang w:val="ro-MD"/>
              </w:rPr>
              <w:t>l</w:t>
            </w:r>
            <w:r w:rsidR="00DE1309" w:rsidRPr="002460E2">
              <w:rPr>
                <w:rFonts w:eastAsia="Calibri"/>
                <w:i/>
                <w:iCs/>
                <w:kern w:val="2"/>
                <w:sz w:val="18"/>
                <w:szCs w:val="18"/>
                <w:lang w:val="ro-MD"/>
              </w:rPr>
              <w:t> </w:t>
            </w:r>
            <w:r w:rsidR="00DE1309" w:rsidRPr="002460E2">
              <w:rPr>
                <w:rFonts w:eastAsia="Calibri"/>
                <w:kern w:val="2"/>
                <w:sz w:val="18"/>
                <w:szCs w:val="18"/>
                <w:lang w:val="ro-MD"/>
              </w:rPr>
              <w:t>, care rezultă din expuneri la risc atribuite benzilor sectoriale 11 și 19, parametrul de corelație </w:t>
            </w:r>
            <w:r w:rsidR="00DE1309" w:rsidRPr="002460E2">
              <w:rPr>
                <w:rFonts w:eastAsia="Calibri"/>
                <w:i/>
                <w:iCs/>
                <w:kern w:val="2"/>
                <w:sz w:val="18"/>
                <w:szCs w:val="18"/>
                <w:lang w:val="ro-MD"/>
              </w:rPr>
              <w:t>ρ</w:t>
            </w:r>
            <w:r w:rsidR="00DE1309" w:rsidRPr="002460E2">
              <w:rPr>
                <w:rFonts w:eastAsia="Calibri"/>
                <w:i/>
                <w:iCs/>
                <w:kern w:val="2"/>
                <w:sz w:val="18"/>
                <w:szCs w:val="18"/>
                <w:vertAlign w:val="subscript"/>
                <w:lang w:val="ro-MD"/>
              </w:rPr>
              <w:t>kl</w:t>
            </w:r>
            <w:r w:rsidR="00DE1309" w:rsidRPr="002460E2">
              <w:rPr>
                <w:rFonts w:eastAsia="Calibri"/>
                <w:i/>
                <w:iCs/>
                <w:kern w:val="2"/>
                <w:sz w:val="18"/>
                <w:szCs w:val="18"/>
                <w:lang w:val="ro-MD"/>
              </w:rPr>
              <w:t> </w:t>
            </w:r>
            <w:r w:rsidR="00DE1309" w:rsidRPr="002460E2">
              <w:rPr>
                <w:rFonts w:eastAsia="Calibri"/>
                <w:kern w:val="2"/>
                <w:sz w:val="18"/>
                <w:szCs w:val="18"/>
                <w:lang w:val="ro-MD"/>
              </w:rPr>
              <w:t>se stabilește după cum urmează:</w:t>
            </w:r>
          </w:p>
          <w:p w14:paraId="7D6C22A6" w14:textId="77777777" w:rsidR="00DE1309" w:rsidRPr="002460E2" w:rsidRDefault="00DE1309" w:rsidP="00DE1309">
            <w:pPr>
              <w:jc w:val="center"/>
              <w:rPr>
                <w:rFonts w:eastAsia="Calibri"/>
                <w:kern w:val="2"/>
                <w:sz w:val="18"/>
                <w:szCs w:val="18"/>
                <w:lang w:val="ro-MD"/>
              </w:rPr>
            </w:pPr>
            <w:r w:rsidRPr="002460E2">
              <w:rPr>
                <w:rFonts w:eastAsia="Calibri"/>
                <w:noProof/>
                <w:kern w:val="2"/>
                <w:sz w:val="18"/>
                <w:szCs w:val="18"/>
                <w:lang w:val="ro-MD"/>
              </w:rPr>
              <w:drawing>
                <wp:inline distT="0" distB="0" distL="0" distR="0" wp14:anchorId="4A936541" wp14:editId="745213DB">
                  <wp:extent cx="2133018" cy="262646"/>
                  <wp:effectExtent l="0" t="0" r="635" b="4445"/>
                  <wp:docPr id="152"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23144" cy="273744"/>
                          </a:xfrm>
                          <a:prstGeom prst="rect">
                            <a:avLst/>
                          </a:prstGeom>
                          <a:noFill/>
                          <a:ln>
                            <a:noFill/>
                          </a:ln>
                        </pic:spPr>
                      </pic:pic>
                    </a:graphicData>
                  </a:graphic>
                </wp:inline>
              </w:drawing>
            </w:r>
          </w:p>
          <w:p w14:paraId="387A3D48" w14:textId="77777777" w:rsidR="00DE1309" w:rsidRPr="002460E2" w:rsidRDefault="00DE1309" w:rsidP="00DE1309">
            <w:pPr>
              <w:rPr>
                <w:rFonts w:eastAsia="Calibri"/>
                <w:kern w:val="2"/>
                <w:sz w:val="18"/>
                <w:szCs w:val="18"/>
                <w:lang w:val="ro-MD"/>
              </w:rPr>
            </w:pPr>
            <w:r w:rsidRPr="002460E2">
              <w:rPr>
                <w:rFonts w:eastAsia="Calibri"/>
                <w:kern w:val="2"/>
                <w:sz w:val="18"/>
                <w:szCs w:val="18"/>
                <w:lang w:val="ro-MD"/>
              </w:rPr>
              <w:t>unde:</w:t>
            </w:r>
          </w:p>
          <w:tbl>
            <w:tblPr>
              <w:tblW w:w="5000" w:type="pct"/>
              <w:tblLayout w:type="fixed"/>
              <w:tblCellMar>
                <w:left w:w="0" w:type="dxa"/>
                <w:right w:w="0" w:type="dxa"/>
              </w:tblCellMar>
              <w:tblLook w:val="04A0" w:firstRow="1" w:lastRow="0" w:firstColumn="1" w:lastColumn="0" w:noHBand="0" w:noVBand="1"/>
            </w:tblPr>
            <w:tblGrid>
              <w:gridCol w:w="471"/>
              <w:gridCol w:w="2998"/>
            </w:tblGrid>
            <w:tr w:rsidR="00DE1309" w:rsidRPr="002460E2" w14:paraId="397387A4" w14:textId="77777777" w:rsidTr="003245BF">
              <w:tc>
                <w:tcPr>
                  <w:tcW w:w="1290" w:type="dxa"/>
                  <w:shd w:val="clear" w:color="auto" w:fill="auto"/>
                  <w:hideMark/>
                </w:tcPr>
                <w:p w14:paraId="448DBA1D" w14:textId="77777777" w:rsidR="00DE1309" w:rsidRPr="002460E2" w:rsidRDefault="00DE1309" w:rsidP="00DE1309">
                  <w:pPr>
                    <w:rPr>
                      <w:rFonts w:eastAsia="Calibri"/>
                      <w:kern w:val="2"/>
                      <w:sz w:val="18"/>
                      <w:szCs w:val="18"/>
                      <w:lang w:val="ro-MD"/>
                    </w:rPr>
                  </w:pPr>
                  <w:r w:rsidRPr="002460E2">
                    <w:rPr>
                      <w:rFonts w:eastAsia="Calibri"/>
                      <w:noProof/>
                      <w:kern w:val="2"/>
                      <w:sz w:val="18"/>
                      <w:szCs w:val="18"/>
                      <w:lang w:val="ro-MD"/>
                    </w:rPr>
                    <w:drawing>
                      <wp:inline distT="0" distB="0" distL="0" distR="0" wp14:anchorId="07EE5178" wp14:editId="6BBE7AF3">
                        <wp:extent cx="292100" cy="113758"/>
                        <wp:effectExtent l="0" t="0" r="0" b="635"/>
                        <wp:docPr id="153" name="Pictur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7503" cy="123651"/>
                                </a:xfrm>
                                <a:prstGeom prst="rect">
                                  <a:avLst/>
                                </a:prstGeom>
                                <a:noFill/>
                                <a:ln>
                                  <a:noFill/>
                                </a:ln>
                              </pic:spPr>
                            </pic:pic>
                          </a:graphicData>
                        </a:graphic>
                      </wp:inline>
                    </w:drawing>
                  </w:r>
                </w:p>
              </w:tc>
              <w:tc>
                <w:tcPr>
                  <w:tcW w:w="8398" w:type="dxa"/>
                  <w:shd w:val="clear" w:color="auto" w:fill="auto"/>
                  <w:hideMark/>
                </w:tcPr>
                <w:p w14:paraId="0C29C4E7" w14:textId="77777777" w:rsidR="00DE1309" w:rsidRPr="002460E2" w:rsidRDefault="00DE1309" w:rsidP="00DE1309">
                  <w:pPr>
                    <w:rPr>
                      <w:rFonts w:eastAsia="Calibri"/>
                      <w:kern w:val="2"/>
                      <w:sz w:val="18"/>
                      <w:szCs w:val="18"/>
                      <w:lang w:val="ro-MD"/>
                    </w:rPr>
                  </w:pPr>
                  <w:r w:rsidRPr="002460E2">
                    <w:rPr>
                      <w:rFonts w:eastAsia="Calibri"/>
                      <w:kern w:val="2"/>
                      <w:sz w:val="18"/>
                      <w:szCs w:val="18"/>
                      <w:lang w:val="ro-MD"/>
                    </w:rPr>
                    <w:t>este egal cu 1 atunci când cele două puncte ale sensibilităților k și l sunt identice, iar în caz contrar este egal cu 90 %;</w:t>
                  </w:r>
                </w:p>
              </w:tc>
            </w:tr>
          </w:tbl>
          <w:p w14:paraId="2027817C" w14:textId="77777777" w:rsidR="00DE1309" w:rsidRPr="002460E2" w:rsidRDefault="00DE1309" w:rsidP="00DE1309">
            <w:pPr>
              <w:rPr>
                <w:rFonts w:eastAsia="Calibri"/>
                <w:vanish/>
                <w:kern w:val="2"/>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397"/>
              <w:gridCol w:w="3072"/>
            </w:tblGrid>
            <w:tr w:rsidR="00DE1309" w:rsidRPr="002460E2" w14:paraId="2049163A" w14:textId="77777777" w:rsidTr="003245BF">
              <w:tc>
                <w:tcPr>
                  <w:tcW w:w="1080" w:type="dxa"/>
                  <w:shd w:val="clear" w:color="auto" w:fill="auto"/>
                  <w:hideMark/>
                </w:tcPr>
                <w:p w14:paraId="269F42E5" w14:textId="77777777" w:rsidR="00DE1309" w:rsidRPr="002460E2" w:rsidRDefault="00DE1309" w:rsidP="00DE1309">
                  <w:pPr>
                    <w:rPr>
                      <w:rFonts w:eastAsia="Calibri"/>
                      <w:kern w:val="2"/>
                      <w:sz w:val="18"/>
                      <w:szCs w:val="18"/>
                      <w:lang w:val="ro-MD"/>
                    </w:rPr>
                  </w:pPr>
                  <w:r w:rsidRPr="002460E2">
                    <w:rPr>
                      <w:rFonts w:eastAsia="Calibri"/>
                      <w:noProof/>
                      <w:kern w:val="2"/>
                      <w:sz w:val="18"/>
                      <w:szCs w:val="18"/>
                      <w:lang w:val="ro-MD"/>
                    </w:rPr>
                    <w:drawing>
                      <wp:inline distT="0" distB="0" distL="0" distR="0" wp14:anchorId="205E5617" wp14:editId="33CF4831">
                        <wp:extent cx="293231" cy="155642"/>
                        <wp:effectExtent l="0" t="0" r="0" b="0"/>
                        <wp:docPr id="154" name="Pictur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2086" cy="165650"/>
                                </a:xfrm>
                                <a:prstGeom prst="rect">
                                  <a:avLst/>
                                </a:prstGeom>
                                <a:noFill/>
                                <a:ln>
                                  <a:noFill/>
                                </a:ln>
                              </pic:spPr>
                            </pic:pic>
                          </a:graphicData>
                        </a:graphic>
                      </wp:inline>
                    </w:drawing>
                  </w:r>
                </w:p>
              </w:tc>
              <w:tc>
                <w:tcPr>
                  <w:tcW w:w="8608" w:type="dxa"/>
                  <w:shd w:val="clear" w:color="auto" w:fill="auto"/>
                  <w:hideMark/>
                </w:tcPr>
                <w:p w14:paraId="46D624A8" w14:textId="77777777" w:rsidR="00DE1309" w:rsidRPr="002460E2" w:rsidRDefault="00DE1309" w:rsidP="00DE1309">
                  <w:pPr>
                    <w:rPr>
                      <w:rFonts w:eastAsia="Calibri"/>
                      <w:kern w:val="2"/>
                      <w:sz w:val="18"/>
                      <w:szCs w:val="18"/>
                      <w:lang w:val="ro-MD"/>
                    </w:rPr>
                  </w:pPr>
                  <w:r w:rsidRPr="002460E2">
                    <w:rPr>
                      <w:rFonts w:eastAsia="Calibri"/>
                      <w:kern w:val="2"/>
                      <w:sz w:val="18"/>
                      <w:szCs w:val="18"/>
                      <w:lang w:val="ro-MD"/>
                    </w:rPr>
                    <w:t>este egal cu 1 atunci când cele două nume ale sensibilităților k și l sunt identice și cei doi indici fac parte din aceeași serie, 90 % dacă cei doi indici sunt aceiași, dar din serii diferite, iar în caz contrar este egal cu 80 %;</w:t>
                  </w:r>
                </w:p>
              </w:tc>
            </w:tr>
          </w:tbl>
          <w:p w14:paraId="2EE676B4" w14:textId="77777777" w:rsidR="00DE1309" w:rsidRPr="002460E2" w:rsidRDefault="00DE1309" w:rsidP="00DE1309">
            <w:pPr>
              <w:rPr>
                <w:rFonts w:eastAsia="Calibri"/>
                <w:vanish/>
                <w:kern w:val="2"/>
                <w:sz w:val="18"/>
                <w:szCs w:val="18"/>
                <w:lang w:val="ro-MD"/>
              </w:rPr>
            </w:pPr>
          </w:p>
          <w:tbl>
            <w:tblPr>
              <w:tblW w:w="5000" w:type="pct"/>
              <w:tblLayout w:type="fixed"/>
              <w:tblCellMar>
                <w:left w:w="0" w:type="dxa"/>
                <w:right w:w="0" w:type="dxa"/>
              </w:tblCellMar>
              <w:tblLook w:val="04A0" w:firstRow="1" w:lastRow="0" w:firstColumn="1" w:lastColumn="0" w:noHBand="0" w:noVBand="1"/>
            </w:tblPr>
            <w:tblGrid>
              <w:gridCol w:w="450"/>
              <w:gridCol w:w="3019"/>
            </w:tblGrid>
            <w:tr w:rsidR="00DE1309" w:rsidRPr="002460E2" w14:paraId="7E3ECEE0" w14:textId="77777777" w:rsidTr="003245BF">
              <w:tc>
                <w:tcPr>
                  <w:tcW w:w="1230" w:type="dxa"/>
                  <w:shd w:val="clear" w:color="auto" w:fill="auto"/>
                  <w:hideMark/>
                </w:tcPr>
                <w:p w14:paraId="5A64A3BE" w14:textId="77777777" w:rsidR="00DE1309" w:rsidRPr="002460E2" w:rsidRDefault="00DE1309" w:rsidP="00DE1309">
                  <w:pPr>
                    <w:rPr>
                      <w:rFonts w:eastAsia="Calibri"/>
                      <w:kern w:val="2"/>
                      <w:sz w:val="18"/>
                      <w:szCs w:val="18"/>
                      <w:lang w:val="ro-MD"/>
                    </w:rPr>
                  </w:pPr>
                  <w:r w:rsidRPr="002460E2">
                    <w:rPr>
                      <w:rFonts w:eastAsia="Calibri"/>
                      <w:noProof/>
                      <w:kern w:val="2"/>
                      <w:sz w:val="18"/>
                      <w:szCs w:val="18"/>
                      <w:lang w:val="ro-MD"/>
                    </w:rPr>
                    <w:drawing>
                      <wp:inline distT="0" distB="0" distL="0" distR="0" wp14:anchorId="10C120EA" wp14:editId="04F60187">
                        <wp:extent cx="355153" cy="165370"/>
                        <wp:effectExtent l="0" t="0" r="6985" b="6350"/>
                        <wp:docPr id="155" name="Pictur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6107" cy="170470"/>
                                </a:xfrm>
                                <a:prstGeom prst="rect">
                                  <a:avLst/>
                                </a:prstGeom>
                                <a:noFill/>
                                <a:ln>
                                  <a:noFill/>
                                </a:ln>
                              </pic:spPr>
                            </pic:pic>
                          </a:graphicData>
                        </a:graphic>
                      </wp:inline>
                    </w:drawing>
                  </w:r>
                </w:p>
              </w:tc>
              <w:tc>
                <w:tcPr>
                  <w:tcW w:w="8458" w:type="dxa"/>
                  <w:shd w:val="clear" w:color="auto" w:fill="auto"/>
                  <w:hideMark/>
                </w:tcPr>
                <w:p w14:paraId="61EA8D62" w14:textId="77777777" w:rsidR="00DE1309" w:rsidRPr="002460E2" w:rsidRDefault="00DE1309" w:rsidP="00DE1309">
                  <w:pPr>
                    <w:rPr>
                      <w:rFonts w:eastAsia="Calibri"/>
                      <w:kern w:val="2"/>
                      <w:sz w:val="18"/>
                      <w:szCs w:val="18"/>
                      <w:lang w:val="ro-MD"/>
                    </w:rPr>
                  </w:pPr>
                  <w:r w:rsidRPr="002460E2">
                    <w:rPr>
                      <w:rFonts w:eastAsia="Calibri"/>
                      <w:kern w:val="2"/>
                      <w:sz w:val="18"/>
                      <w:szCs w:val="18"/>
                      <w:lang w:val="ro-MD"/>
                    </w:rPr>
                    <w:t>este egal cu 1 atunci când cele două nume sunt ambele în banda 11 sau ambele în banda 19, iar în caz contrar este egal cu 80 %.</w:t>
                  </w:r>
                </w:p>
              </w:tc>
            </w:tr>
          </w:tbl>
          <w:p w14:paraId="39CE8EA2" w14:textId="77777777" w:rsidR="00DE1309" w:rsidRPr="002460E2" w:rsidRDefault="00DE1309" w:rsidP="00DE1309">
            <w:pPr>
              <w:jc w:val="center"/>
              <w:rPr>
                <w:bCs/>
                <w:i/>
                <w:iCs/>
                <w:sz w:val="18"/>
                <w:szCs w:val="18"/>
                <w:lang w:val="en-US" w:eastAsia="en-US"/>
              </w:rPr>
            </w:pPr>
          </w:p>
        </w:tc>
        <w:tc>
          <w:tcPr>
            <w:tcW w:w="1229" w:type="dxa"/>
          </w:tcPr>
          <w:p w14:paraId="4442B87D" w14:textId="04B157DC"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EAC72DE" w14:textId="77777777" w:rsidR="00DE1309" w:rsidRPr="002460E2" w:rsidRDefault="00DE1309" w:rsidP="00DE1309">
            <w:pPr>
              <w:jc w:val="both"/>
              <w:rPr>
                <w:sz w:val="18"/>
                <w:szCs w:val="18"/>
                <w:lang w:val="ro-MD"/>
              </w:rPr>
            </w:pPr>
          </w:p>
        </w:tc>
      </w:tr>
      <w:tr w:rsidR="00DE1309" w:rsidRPr="002460E2" w14:paraId="72D85376" w14:textId="77777777" w:rsidTr="003F5B3C">
        <w:trPr>
          <w:trHeight w:val="918"/>
        </w:trPr>
        <w:tc>
          <w:tcPr>
            <w:tcW w:w="4253" w:type="dxa"/>
          </w:tcPr>
          <w:p w14:paraId="7E8AAF60" w14:textId="77777777" w:rsidR="00DE1309" w:rsidRPr="002460E2" w:rsidRDefault="00DE1309" w:rsidP="00DE1309">
            <w:pPr>
              <w:rPr>
                <w:i/>
                <w:iCs/>
                <w:sz w:val="18"/>
                <w:szCs w:val="18"/>
                <w:lang w:val="en-US"/>
              </w:rPr>
            </w:pPr>
            <w:r w:rsidRPr="002460E2">
              <w:rPr>
                <w:i/>
                <w:iCs/>
                <w:sz w:val="18"/>
                <w:szCs w:val="18"/>
                <w:lang w:val="en-US"/>
              </w:rPr>
              <w:t>Articolul 383u</w:t>
            </w:r>
          </w:p>
          <w:p w14:paraId="2976E24C" w14:textId="77777777" w:rsidR="00DE1309" w:rsidRPr="002460E2" w:rsidRDefault="00DE1309" w:rsidP="00DE1309">
            <w:pPr>
              <w:rPr>
                <w:b/>
                <w:bCs/>
                <w:sz w:val="18"/>
                <w:szCs w:val="18"/>
                <w:lang w:val="en-US"/>
              </w:rPr>
            </w:pPr>
            <w:r w:rsidRPr="002460E2">
              <w:rPr>
                <w:b/>
                <w:bCs/>
                <w:sz w:val="18"/>
                <w:szCs w:val="18"/>
                <w:lang w:val="en-US"/>
              </w:rPr>
              <w:t>Corelațiile dintre benzi pentru riscul de marjă de credit de referință</w:t>
            </w:r>
          </w:p>
          <w:p w14:paraId="7C3A334F" w14:textId="0DFAFA9A" w:rsidR="00DE1309" w:rsidRPr="002460E2" w:rsidRDefault="00DE1309" w:rsidP="00DE1309">
            <w:pPr>
              <w:rPr>
                <w:sz w:val="18"/>
                <w:szCs w:val="18"/>
                <w:lang w:val="en-US"/>
              </w:rPr>
            </w:pPr>
            <w:r w:rsidRPr="002460E2">
              <w:rPr>
                <w:sz w:val="18"/>
                <w:szCs w:val="18"/>
                <w:lang w:val="en-US"/>
              </w:rPr>
              <w:t>(1) Corelațiile dintre benzi pentru riscul de marjă de credit de referință delta și riscul de marjă de credit de referință vega sunt următoarele:</w:t>
            </w:r>
          </w:p>
          <w:p w14:paraId="2481B06B" w14:textId="77777777" w:rsidR="00DE1309" w:rsidRPr="002460E2" w:rsidRDefault="00DE1309" w:rsidP="00DE1309">
            <w:pPr>
              <w:spacing w:after="160" w:line="259" w:lineRule="auto"/>
              <w:rPr>
                <w:rFonts w:eastAsia="Calibri"/>
                <w:b/>
                <w:bCs/>
                <w:kern w:val="2"/>
                <w:sz w:val="18"/>
                <w:szCs w:val="18"/>
                <w:lang w:val="ro-MD" w:eastAsia="en-US"/>
                <w14:ligatures w14:val="standardContextual"/>
              </w:rPr>
            </w:pPr>
            <w:r w:rsidRPr="002460E2">
              <w:rPr>
                <w:rFonts w:eastAsia="Calibri"/>
                <w:b/>
                <w:bCs/>
                <w:kern w:val="2"/>
                <w:sz w:val="18"/>
                <w:szCs w:val="18"/>
                <w:lang w:val="ro-MD" w:eastAsia="en-US"/>
                <w14:ligatures w14:val="standardContextual"/>
              </w:rPr>
              <w:t>Tabelul 1</w:t>
            </w:r>
          </w:p>
          <w:p w14:paraId="4A1F38F1" w14:textId="2680E972" w:rsidR="00DE1309" w:rsidRPr="002460E2" w:rsidRDefault="00DE1309" w:rsidP="00DE1309">
            <w:pPr>
              <w:spacing w:after="160" w:line="259" w:lineRule="auto"/>
              <w:rPr>
                <w:rFonts w:eastAsia="Calibri"/>
                <w:b/>
                <w:bCs/>
                <w:kern w:val="2"/>
                <w:sz w:val="18"/>
                <w:szCs w:val="18"/>
                <w:lang w:val="ro-MD" w:eastAsia="en-US"/>
                <w14:ligatures w14:val="standardContextual"/>
              </w:rPr>
            </w:pPr>
            <w:r w:rsidRPr="002460E2">
              <w:rPr>
                <w:noProof/>
                <w:sz w:val="18"/>
                <w:szCs w:val="18"/>
              </w:rPr>
              <w:lastRenderedPageBreak/>
              <w:drawing>
                <wp:inline distT="0" distB="0" distL="0" distR="0" wp14:anchorId="468C8145" wp14:editId="7B2A72BE">
                  <wp:extent cx="2796618" cy="2719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11072" cy="2733400"/>
                          </a:xfrm>
                          <a:prstGeom prst="rect">
                            <a:avLst/>
                          </a:prstGeom>
                          <a:noFill/>
                        </pic:spPr>
                      </pic:pic>
                    </a:graphicData>
                  </a:graphic>
                </wp:inline>
              </w:drawing>
            </w:r>
          </w:p>
        </w:tc>
        <w:tc>
          <w:tcPr>
            <w:tcW w:w="3685" w:type="dxa"/>
            <w:shd w:val="clear" w:color="auto" w:fill="auto"/>
          </w:tcPr>
          <w:p w14:paraId="782136AD" w14:textId="77777777" w:rsidR="00DE1309" w:rsidRPr="002460E2" w:rsidRDefault="00DE1309" w:rsidP="00DE1309">
            <w:pPr>
              <w:pStyle w:val="ListParagraph"/>
              <w:ind w:left="786"/>
              <w:jc w:val="center"/>
              <w:rPr>
                <w:i/>
                <w:iCs/>
                <w:sz w:val="18"/>
                <w:szCs w:val="18"/>
                <w:lang w:val="ro-MD"/>
              </w:rPr>
            </w:pPr>
            <w:r w:rsidRPr="002460E2">
              <w:rPr>
                <w:i/>
                <w:iCs/>
                <w:sz w:val="18"/>
                <w:szCs w:val="18"/>
                <w:lang w:val="ro-MD"/>
              </w:rPr>
              <w:lastRenderedPageBreak/>
              <w:t>Secțiunea a 19-a</w:t>
            </w:r>
          </w:p>
          <w:p w14:paraId="2D3B7F4A" w14:textId="77777777" w:rsidR="00DE1309" w:rsidRPr="002460E2" w:rsidRDefault="00DE1309" w:rsidP="00DE1309">
            <w:pPr>
              <w:jc w:val="center"/>
              <w:rPr>
                <w:b/>
                <w:bCs/>
                <w:sz w:val="18"/>
                <w:szCs w:val="18"/>
                <w:lang w:val="ro-MD"/>
              </w:rPr>
            </w:pPr>
            <w:r w:rsidRPr="002460E2">
              <w:rPr>
                <w:b/>
                <w:bCs/>
                <w:sz w:val="18"/>
                <w:szCs w:val="18"/>
                <w:lang w:val="en-US"/>
              </w:rPr>
              <w:t>Corelațiile dintre benzi pentru riscul de marjă de credit de referință</w:t>
            </w:r>
          </w:p>
          <w:p w14:paraId="5E8EF7D9" w14:textId="22591A2A" w:rsidR="00DE1309" w:rsidRPr="002460E2" w:rsidRDefault="00C40F9E" w:rsidP="00DE1309">
            <w:pPr>
              <w:rPr>
                <w:sz w:val="18"/>
                <w:szCs w:val="18"/>
                <w:lang w:val="en-US"/>
              </w:rPr>
            </w:pPr>
            <w:r w:rsidRPr="002460E2">
              <w:rPr>
                <w:sz w:val="18"/>
                <w:szCs w:val="18"/>
                <w:lang w:val="en-US"/>
              </w:rPr>
              <w:t>101</w:t>
            </w:r>
            <w:r w:rsidR="00DE1309" w:rsidRPr="002460E2">
              <w:rPr>
                <w:sz w:val="18"/>
                <w:szCs w:val="18"/>
                <w:lang w:val="en-US"/>
              </w:rPr>
              <w:t>. Corelațiile dintre benzi pentru riscul de marjă de credit de referință delta și riscul de marjă de credit de referință vega sunt următoarele:</w:t>
            </w:r>
          </w:p>
          <w:p w14:paraId="26DE2D28" w14:textId="77777777" w:rsidR="00DE1309" w:rsidRPr="002460E2" w:rsidRDefault="00DE1309" w:rsidP="00DE1309">
            <w:pPr>
              <w:jc w:val="right"/>
              <w:rPr>
                <w:i/>
                <w:iCs/>
                <w:sz w:val="18"/>
                <w:szCs w:val="18"/>
              </w:rPr>
            </w:pPr>
            <w:r w:rsidRPr="002460E2">
              <w:rPr>
                <w:i/>
                <w:iCs/>
                <w:sz w:val="18"/>
                <w:szCs w:val="18"/>
              </w:rPr>
              <w:t>Tabelul 1</w:t>
            </w:r>
          </w:p>
          <w:p w14:paraId="1DBF24DB" w14:textId="77777777" w:rsidR="00DE1309" w:rsidRPr="002460E2" w:rsidRDefault="00DE1309" w:rsidP="00DE1309">
            <w:pPr>
              <w:jc w:val="center"/>
              <w:rPr>
                <w:bCs/>
                <w:i/>
                <w:iCs/>
                <w:sz w:val="18"/>
                <w:szCs w:val="18"/>
                <w:lang w:val="ro-MD" w:eastAsia="en-US"/>
              </w:rPr>
            </w:pPr>
          </w:p>
          <w:p w14:paraId="2AD84799" w14:textId="48F5A805" w:rsidR="00DE1309" w:rsidRPr="002460E2" w:rsidRDefault="00DE1309" w:rsidP="00DE1309">
            <w:pPr>
              <w:jc w:val="center"/>
              <w:rPr>
                <w:bCs/>
                <w:i/>
                <w:iCs/>
                <w:sz w:val="18"/>
                <w:szCs w:val="18"/>
                <w:lang w:val="ro-MD" w:eastAsia="en-US"/>
              </w:rPr>
            </w:pPr>
            <w:r w:rsidRPr="002460E2">
              <w:rPr>
                <w:noProof/>
                <w:sz w:val="18"/>
                <w:szCs w:val="18"/>
              </w:rPr>
              <w:lastRenderedPageBreak/>
              <w:drawing>
                <wp:inline distT="0" distB="0" distL="0" distR="0" wp14:anchorId="133BA614" wp14:editId="725F1412">
                  <wp:extent cx="2796618" cy="271934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11072" cy="2733400"/>
                          </a:xfrm>
                          <a:prstGeom prst="rect">
                            <a:avLst/>
                          </a:prstGeom>
                          <a:noFill/>
                        </pic:spPr>
                      </pic:pic>
                    </a:graphicData>
                  </a:graphic>
                </wp:inline>
              </w:drawing>
            </w:r>
          </w:p>
        </w:tc>
        <w:tc>
          <w:tcPr>
            <w:tcW w:w="1229" w:type="dxa"/>
          </w:tcPr>
          <w:p w14:paraId="463F8E73" w14:textId="4512454F"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0F48B1C4" w14:textId="77777777" w:rsidR="00DE1309" w:rsidRPr="002460E2" w:rsidRDefault="00DE1309" w:rsidP="00DE1309">
            <w:pPr>
              <w:jc w:val="both"/>
              <w:rPr>
                <w:sz w:val="18"/>
                <w:szCs w:val="18"/>
                <w:lang w:val="ro-MD"/>
              </w:rPr>
            </w:pPr>
          </w:p>
        </w:tc>
      </w:tr>
      <w:tr w:rsidR="00DE1309" w:rsidRPr="002460E2" w14:paraId="05F4BBD8" w14:textId="77777777" w:rsidTr="003F5B3C">
        <w:trPr>
          <w:trHeight w:val="918"/>
        </w:trPr>
        <w:tc>
          <w:tcPr>
            <w:tcW w:w="4253" w:type="dxa"/>
          </w:tcPr>
          <w:p w14:paraId="124E40F8" w14:textId="75E4F7B7" w:rsidR="00DE1309" w:rsidRPr="002460E2" w:rsidRDefault="00DE1309" w:rsidP="00DE1309">
            <w:pPr>
              <w:spacing w:after="160" w:line="259" w:lineRule="auto"/>
              <w:rPr>
                <w:rFonts w:eastAsia="Calibri"/>
                <w:kern w:val="2"/>
                <w:sz w:val="18"/>
                <w:szCs w:val="18"/>
                <w:lang w:val="ro-MD" w:eastAsia="en-US"/>
                <w14:ligatures w14:val="standardContextual"/>
              </w:rPr>
            </w:pPr>
            <w:r w:rsidRPr="002460E2">
              <w:rPr>
                <w:rFonts w:eastAsia="Calibri"/>
                <w:kern w:val="2"/>
                <w:sz w:val="18"/>
                <w:szCs w:val="18"/>
                <w:lang w:val="ro-MD" w:eastAsia="en-US"/>
                <w14:ligatures w14:val="standardContextual"/>
              </w:rPr>
              <w:t>(2) Prin derogare de la alineatul (1), valorile corelațiilor dintre benzi calculate la alineatul respectiv se împart la 2 pentru corelațiile dintre o bandă din grupul 1-10 și o bandă din grupul 12-18.</w:t>
            </w:r>
          </w:p>
        </w:tc>
        <w:tc>
          <w:tcPr>
            <w:tcW w:w="3685" w:type="dxa"/>
            <w:shd w:val="clear" w:color="auto" w:fill="auto"/>
          </w:tcPr>
          <w:p w14:paraId="681AD31D" w14:textId="6FF03172" w:rsidR="00DE1309" w:rsidRPr="002460E2" w:rsidRDefault="00C40F9E" w:rsidP="00DE1309">
            <w:pPr>
              <w:jc w:val="both"/>
              <w:rPr>
                <w:sz w:val="18"/>
                <w:szCs w:val="18"/>
                <w:lang w:val="en-US"/>
              </w:rPr>
            </w:pPr>
            <w:r w:rsidRPr="002460E2">
              <w:rPr>
                <w:sz w:val="18"/>
                <w:szCs w:val="18"/>
                <w:lang w:val="en-US"/>
              </w:rPr>
              <w:t>102</w:t>
            </w:r>
            <w:r w:rsidR="00DE1309" w:rsidRPr="002460E2">
              <w:rPr>
                <w:sz w:val="18"/>
                <w:szCs w:val="18"/>
                <w:lang w:val="en-US"/>
              </w:rPr>
              <w:t xml:space="preserve">. Prin derogare de la punctul </w:t>
            </w:r>
            <w:r w:rsidRPr="002460E2">
              <w:rPr>
                <w:sz w:val="18"/>
                <w:szCs w:val="18"/>
                <w:lang w:val="en-US"/>
              </w:rPr>
              <w:t>101</w:t>
            </w:r>
            <w:r w:rsidR="00DE1309" w:rsidRPr="002460E2">
              <w:rPr>
                <w:sz w:val="18"/>
                <w:szCs w:val="18"/>
                <w:lang w:val="en-US"/>
              </w:rPr>
              <w:t>, valorile corelațiilor dintre benzi calculate la punctul respectiv se împart la 2 pentru corelațiile dintre o bandă din grupul 1-10 și o bandă din grupul 12-18.</w:t>
            </w:r>
          </w:p>
          <w:p w14:paraId="5F1F280F" w14:textId="77777777" w:rsidR="00DE1309" w:rsidRPr="002460E2" w:rsidRDefault="00DE1309" w:rsidP="00DE1309">
            <w:pPr>
              <w:jc w:val="center"/>
              <w:rPr>
                <w:bCs/>
                <w:i/>
                <w:iCs/>
                <w:sz w:val="18"/>
                <w:szCs w:val="18"/>
                <w:lang w:val="en-US" w:eastAsia="en-US"/>
              </w:rPr>
            </w:pPr>
          </w:p>
        </w:tc>
        <w:tc>
          <w:tcPr>
            <w:tcW w:w="1229" w:type="dxa"/>
          </w:tcPr>
          <w:p w14:paraId="4950A99B" w14:textId="4EF30EC8"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6877733" w14:textId="77777777" w:rsidR="00DE1309" w:rsidRPr="002460E2" w:rsidRDefault="00DE1309" w:rsidP="00DE1309">
            <w:pPr>
              <w:jc w:val="both"/>
              <w:rPr>
                <w:sz w:val="18"/>
                <w:szCs w:val="18"/>
                <w:lang w:val="ro-MD"/>
              </w:rPr>
            </w:pPr>
          </w:p>
        </w:tc>
      </w:tr>
      <w:tr w:rsidR="00DE1309" w:rsidRPr="002460E2" w14:paraId="0BDA386F" w14:textId="77777777" w:rsidTr="003F5B3C">
        <w:trPr>
          <w:trHeight w:val="918"/>
        </w:trPr>
        <w:tc>
          <w:tcPr>
            <w:tcW w:w="4253" w:type="dxa"/>
          </w:tcPr>
          <w:p w14:paraId="5D00AD92" w14:textId="77777777" w:rsidR="00DE1309" w:rsidRPr="002460E2" w:rsidRDefault="00DE1309" w:rsidP="00DE1309">
            <w:pPr>
              <w:rPr>
                <w:i/>
                <w:iCs/>
                <w:sz w:val="18"/>
                <w:szCs w:val="18"/>
                <w:lang w:val="en-US"/>
              </w:rPr>
            </w:pPr>
            <w:r w:rsidRPr="002460E2">
              <w:rPr>
                <w:i/>
                <w:iCs/>
                <w:sz w:val="18"/>
                <w:szCs w:val="18"/>
                <w:lang w:val="en-US"/>
              </w:rPr>
              <w:t>Articolul 383v</w:t>
            </w:r>
          </w:p>
          <w:p w14:paraId="7E0F9107" w14:textId="77777777" w:rsidR="00DE1309" w:rsidRPr="002460E2" w:rsidRDefault="00DE1309" w:rsidP="00DE1309">
            <w:pPr>
              <w:rPr>
                <w:b/>
                <w:bCs/>
                <w:sz w:val="18"/>
                <w:szCs w:val="18"/>
                <w:lang w:val="en-US"/>
              </w:rPr>
            </w:pPr>
            <w:r w:rsidRPr="002460E2">
              <w:rPr>
                <w:b/>
                <w:bCs/>
                <w:sz w:val="18"/>
                <w:szCs w:val="18"/>
                <w:lang w:val="en-US"/>
              </w:rPr>
              <w:t>Benzile de ponderi de risc pentru riscul de devalorizare a titlurilor de capital</w:t>
            </w:r>
          </w:p>
          <w:p w14:paraId="2BA80DB1" w14:textId="2932B31D" w:rsidR="00DE1309" w:rsidRPr="002460E2" w:rsidRDefault="00DE1309" w:rsidP="00DE1309">
            <w:pPr>
              <w:rPr>
                <w:sz w:val="18"/>
                <w:szCs w:val="18"/>
                <w:lang w:val="en-US"/>
              </w:rPr>
            </w:pPr>
            <w:r w:rsidRPr="002460E2">
              <w:rPr>
                <w:sz w:val="18"/>
                <w:szCs w:val="18"/>
                <w:lang w:val="en-US"/>
              </w:rPr>
              <w:t>(1) Ponderile de risc pentru sensibilitățile delta la factori de risc de preț spot al titlurilor de capital sunt aceleași pentru toate expunerile la riscul de devalorizare a titlurilor de capital din fiecare bandă din tabelul 1 și au următoarele valori:</w:t>
            </w:r>
          </w:p>
          <w:p w14:paraId="209DA708" w14:textId="098DFA23" w:rsidR="00DE1309" w:rsidRPr="002460E2" w:rsidRDefault="00DE1309" w:rsidP="00DE1309">
            <w:pPr>
              <w:spacing w:after="160" w:line="259" w:lineRule="auto"/>
              <w:rPr>
                <w:rFonts w:eastAsia="Calibri"/>
                <w:kern w:val="2"/>
                <w:sz w:val="18"/>
                <w:szCs w:val="18"/>
                <w:lang w:val="ro-MD" w:eastAsia="en-US"/>
                <w14:ligatures w14:val="standardContextual"/>
              </w:rPr>
            </w:pPr>
            <w:r w:rsidRPr="002460E2">
              <w:rPr>
                <w:rFonts w:eastAsia="Calibri"/>
                <w:noProof/>
                <w:kern w:val="2"/>
                <w:sz w:val="18"/>
                <w:szCs w:val="18"/>
                <w:lang w:val="ro-MD" w:eastAsia="en-US"/>
                <w14:ligatures w14:val="standardContextual"/>
              </w:rPr>
              <w:lastRenderedPageBreak/>
              <w:drawing>
                <wp:inline distT="0" distB="0" distL="0" distR="0" wp14:anchorId="26C1C637" wp14:editId="3D67D3A7">
                  <wp:extent cx="2590827" cy="37832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92158" cy="3931262"/>
                          </a:xfrm>
                          <a:prstGeom prst="rect">
                            <a:avLst/>
                          </a:prstGeom>
                          <a:noFill/>
                          <a:ln>
                            <a:noFill/>
                          </a:ln>
                        </pic:spPr>
                      </pic:pic>
                    </a:graphicData>
                  </a:graphic>
                </wp:inline>
              </w:drawing>
            </w:r>
          </w:p>
        </w:tc>
        <w:tc>
          <w:tcPr>
            <w:tcW w:w="3685" w:type="dxa"/>
            <w:shd w:val="clear" w:color="auto" w:fill="auto"/>
          </w:tcPr>
          <w:p w14:paraId="62A4C489" w14:textId="77777777" w:rsidR="00DE1309" w:rsidRPr="002460E2" w:rsidRDefault="00DE1309" w:rsidP="00DE1309">
            <w:pPr>
              <w:pStyle w:val="ListParagraph"/>
              <w:ind w:left="786"/>
              <w:jc w:val="center"/>
              <w:rPr>
                <w:i/>
                <w:iCs/>
                <w:sz w:val="18"/>
                <w:szCs w:val="18"/>
                <w:lang w:val="ro-MD"/>
              </w:rPr>
            </w:pPr>
            <w:r w:rsidRPr="002460E2">
              <w:rPr>
                <w:i/>
                <w:iCs/>
                <w:sz w:val="18"/>
                <w:szCs w:val="18"/>
                <w:lang w:val="ro-MD"/>
              </w:rPr>
              <w:lastRenderedPageBreak/>
              <w:t>Secțiunea a 20-a</w:t>
            </w:r>
          </w:p>
          <w:p w14:paraId="6614A903" w14:textId="77777777" w:rsidR="00DE1309" w:rsidRPr="002460E2" w:rsidRDefault="00DE1309" w:rsidP="00DE1309">
            <w:pPr>
              <w:jc w:val="center"/>
              <w:rPr>
                <w:b/>
                <w:bCs/>
                <w:sz w:val="18"/>
                <w:szCs w:val="18"/>
                <w:lang w:val="ro-MD"/>
              </w:rPr>
            </w:pPr>
            <w:r w:rsidRPr="002460E2">
              <w:rPr>
                <w:b/>
                <w:bCs/>
                <w:sz w:val="18"/>
                <w:szCs w:val="18"/>
                <w:lang w:val="ro-MD"/>
              </w:rPr>
              <w:t>Benzile de ponderi de risc pentru riscul de devalorizare a titlurilor de capital și corelațiile dintre benzi pentru riscul de devalorizare a titlurilor de capital</w:t>
            </w:r>
          </w:p>
          <w:p w14:paraId="41A4D1D9" w14:textId="1011967A" w:rsidR="00DE1309" w:rsidRPr="002460E2" w:rsidRDefault="00C40F9E" w:rsidP="00DE1309">
            <w:pPr>
              <w:jc w:val="both"/>
              <w:rPr>
                <w:rFonts w:eastAsia="Calibri"/>
                <w:kern w:val="2"/>
                <w:sz w:val="18"/>
                <w:szCs w:val="18"/>
                <w:lang w:val="ro-MD"/>
              </w:rPr>
            </w:pPr>
            <w:r w:rsidRPr="002460E2">
              <w:rPr>
                <w:rFonts w:eastAsia="Calibri"/>
                <w:kern w:val="2"/>
                <w:sz w:val="18"/>
                <w:szCs w:val="18"/>
                <w:lang w:val="ro-MD"/>
              </w:rPr>
              <w:t>103</w:t>
            </w:r>
            <w:r w:rsidR="00DE1309" w:rsidRPr="002460E2">
              <w:rPr>
                <w:rFonts w:eastAsia="Calibri"/>
                <w:kern w:val="2"/>
                <w:sz w:val="18"/>
                <w:szCs w:val="18"/>
                <w:lang w:val="ro-MD"/>
              </w:rPr>
              <w:t xml:space="preserve">. Ponderile de risc pentru sensibilitățile delta la factori de risc de preț spot al titlurilor de capital sunt aceleași pentru toate expunerile la </w:t>
            </w:r>
            <w:r w:rsidR="00DE1309" w:rsidRPr="002460E2">
              <w:rPr>
                <w:rFonts w:eastAsia="Calibri"/>
                <w:kern w:val="2"/>
                <w:sz w:val="18"/>
                <w:szCs w:val="18"/>
                <w:lang w:val="ro-MD"/>
              </w:rPr>
              <w:lastRenderedPageBreak/>
              <w:t>riscul de devalorizare a titlurilor de capital din fiecare bandă din tabelul 1 și au următoarele valori:</w:t>
            </w:r>
          </w:p>
          <w:p w14:paraId="6B13520A" w14:textId="77777777" w:rsidR="00DE1309" w:rsidRPr="002460E2" w:rsidRDefault="00DE1309" w:rsidP="00DE1309">
            <w:pPr>
              <w:jc w:val="right"/>
              <w:rPr>
                <w:rFonts w:eastAsia="Calibri"/>
                <w:i/>
                <w:iCs/>
                <w:kern w:val="2"/>
                <w:sz w:val="18"/>
                <w:szCs w:val="18"/>
                <w:lang w:val="ro-MD"/>
              </w:rPr>
            </w:pPr>
            <w:r w:rsidRPr="002460E2">
              <w:rPr>
                <w:rFonts w:eastAsia="Calibri"/>
                <w:i/>
                <w:iCs/>
                <w:kern w:val="2"/>
                <w:sz w:val="18"/>
                <w:szCs w:val="18"/>
                <w:lang w:val="ro-MD"/>
              </w:rPr>
              <w:t xml:space="preserve">      Tabelul 1</w:t>
            </w:r>
          </w:p>
          <w:p w14:paraId="5B1D9F64" w14:textId="68BC9B0E" w:rsidR="00DE1309" w:rsidRPr="002460E2" w:rsidRDefault="00C40F9E" w:rsidP="00DE1309">
            <w:pPr>
              <w:jc w:val="center"/>
              <w:rPr>
                <w:bCs/>
                <w:i/>
                <w:iCs/>
                <w:sz w:val="18"/>
                <w:szCs w:val="18"/>
                <w:lang w:val="ro-MD" w:eastAsia="en-US"/>
              </w:rPr>
            </w:pPr>
            <w:r w:rsidRPr="002460E2">
              <w:rPr>
                <w:rFonts w:eastAsia="Calibri"/>
                <w:noProof/>
                <w:sz w:val="18"/>
                <w:szCs w:val="18"/>
                <w:lang w:val="en-US" w:eastAsia="en-US"/>
              </w:rPr>
              <w:drawing>
                <wp:inline distT="0" distB="0" distL="0" distR="0" wp14:anchorId="269553E9" wp14:editId="710765F5">
                  <wp:extent cx="2196465" cy="307570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14572" cy="3101064"/>
                          </a:xfrm>
                          <a:prstGeom prst="rect">
                            <a:avLst/>
                          </a:prstGeom>
                          <a:noFill/>
                          <a:ln>
                            <a:noFill/>
                          </a:ln>
                        </pic:spPr>
                      </pic:pic>
                    </a:graphicData>
                  </a:graphic>
                </wp:inline>
              </w:drawing>
            </w:r>
          </w:p>
        </w:tc>
        <w:tc>
          <w:tcPr>
            <w:tcW w:w="1229" w:type="dxa"/>
          </w:tcPr>
          <w:p w14:paraId="1A78B618" w14:textId="3490471D"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23EE6660" w14:textId="77777777" w:rsidR="00DE1309" w:rsidRPr="002460E2" w:rsidRDefault="00DE1309" w:rsidP="00DE1309">
            <w:pPr>
              <w:jc w:val="both"/>
              <w:rPr>
                <w:sz w:val="18"/>
                <w:szCs w:val="18"/>
                <w:lang w:val="ro-MD"/>
              </w:rPr>
            </w:pPr>
          </w:p>
        </w:tc>
      </w:tr>
      <w:tr w:rsidR="00DE1309" w:rsidRPr="002460E2" w14:paraId="79139E2C" w14:textId="77777777" w:rsidTr="003F5B3C">
        <w:trPr>
          <w:trHeight w:val="918"/>
        </w:trPr>
        <w:tc>
          <w:tcPr>
            <w:tcW w:w="4253" w:type="dxa"/>
          </w:tcPr>
          <w:p w14:paraId="5E5369FF" w14:textId="6E3719EE" w:rsidR="00DE1309" w:rsidRPr="002460E2" w:rsidRDefault="00DE1309" w:rsidP="00DE1309">
            <w:pPr>
              <w:rPr>
                <w:sz w:val="18"/>
                <w:szCs w:val="18"/>
                <w:lang w:val="en-US"/>
              </w:rPr>
            </w:pPr>
            <w:r w:rsidRPr="002460E2">
              <w:rPr>
                <w:sz w:val="18"/>
                <w:szCs w:val="18"/>
                <w:lang w:val="en-US"/>
              </w:rPr>
              <w:t>(2)   Standardele tehnice de reglementare menționate la articolul 325bd alineatul (7) precizează ce reprezintă o capitalizare scăzută și ce reprezintă o capitalizare ridicată în sensul alineatului (1) de la prezentul articol.</w:t>
            </w:r>
          </w:p>
          <w:p w14:paraId="1DE82D23" w14:textId="77777777" w:rsidR="00DE1309" w:rsidRPr="002460E2" w:rsidRDefault="00DE1309" w:rsidP="00DE1309">
            <w:pPr>
              <w:rPr>
                <w:i/>
                <w:iCs/>
                <w:sz w:val="18"/>
                <w:szCs w:val="18"/>
                <w:lang w:val="en-US"/>
              </w:rPr>
            </w:pPr>
          </w:p>
        </w:tc>
        <w:tc>
          <w:tcPr>
            <w:tcW w:w="3685" w:type="dxa"/>
            <w:shd w:val="clear" w:color="auto" w:fill="auto"/>
          </w:tcPr>
          <w:p w14:paraId="6EC2D5F5" w14:textId="59FE1038" w:rsidR="00DE1309" w:rsidRPr="002460E2" w:rsidRDefault="00C40F9E" w:rsidP="00DE1309">
            <w:pPr>
              <w:spacing w:line="259" w:lineRule="auto"/>
              <w:jc w:val="both"/>
              <w:rPr>
                <w:rFonts w:eastAsia="Calibri"/>
                <w:kern w:val="2"/>
                <w:sz w:val="18"/>
                <w:szCs w:val="18"/>
                <w:lang w:val="ro-MD" w:eastAsia="en-US"/>
              </w:rPr>
            </w:pPr>
            <w:r w:rsidRPr="002460E2">
              <w:rPr>
                <w:rFonts w:eastAsia="Calibri"/>
                <w:kern w:val="2"/>
                <w:sz w:val="18"/>
                <w:szCs w:val="18"/>
                <w:lang w:val="ro-MD" w:eastAsia="en-US"/>
              </w:rPr>
              <w:t>104</w:t>
            </w:r>
            <w:r w:rsidR="00DE1309" w:rsidRPr="002460E2">
              <w:rPr>
                <w:rFonts w:eastAsia="Calibri"/>
                <w:kern w:val="2"/>
                <w:sz w:val="18"/>
                <w:szCs w:val="18"/>
                <w:lang w:val="ro-MD" w:eastAsia="en-US"/>
              </w:rPr>
              <w:t xml:space="preserve">. </w:t>
            </w:r>
            <w:r w:rsidR="001B131C" w:rsidRPr="001B131C">
              <w:rPr>
                <w:rFonts w:eastAsia="Calibri"/>
                <w:kern w:val="2"/>
                <w:sz w:val="18"/>
                <w:szCs w:val="18"/>
                <w:lang w:val="ro-MD" w:eastAsia="en-US"/>
              </w:rPr>
              <w:t xml:space="preserve">Standardele tehnice de reglementare </w:t>
            </w:r>
            <w:bookmarkStart w:id="10" w:name="_Hlk210916243"/>
            <w:r w:rsidR="001B131C" w:rsidRPr="001B131C">
              <w:rPr>
                <w:rFonts w:eastAsia="Calibri"/>
                <w:kern w:val="2"/>
                <w:sz w:val="18"/>
                <w:szCs w:val="18"/>
                <w:lang w:val="ro-MD" w:eastAsia="en-US"/>
              </w:rPr>
              <w:t>prevăzute în actele normative aferente tratamentului riscului de piaţă potrivit abordării standardizate</w:t>
            </w:r>
            <w:bookmarkEnd w:id="10"/>
            <w:r w:rsidR="001B131C" w:rsidRPr="001B131C">
              <w:rPr>
                <w:rFonts w:eastAsia="Calibri"/>
                <w:kern w:val="2"/>
                <w:sz w:val="18"/>
                <w:szCs w:val="18"/>
                <w:lang w:val="ro-MD" w:eastAsia="en-US"/>
              </w:rPr>
              <w:t xml:space="preserve"> precizează ce reprezintă o capitalizare scăzută și ce reprezintă o capitalizare ridicată în sensul punctului 103.</w:t>
            </w:r>
          </w:p>
          <w:p w14:paraId="6F185813" w14:textId="77777777" w:rsidR="00DE1309" w:rsidRPr="002460E2" w:rsidRDefault="00DE1309" w:rsidP="00DE1309">
            <w:pPr>
              <w:spacing w:line="259" w:lineRule="auto"/>
              <w:jc w:val="both"/>
              <w:rPr>
                <w:bCs/>
                <w:i/>
                <w:iCs/>
                <w:sz w:val="18"/>
                <w:szCs w:val="18"/>
                <w:lang w:val="ro-MD" w:eastAsia="en-US"/>
              </w:rPr>
            </w:pPr>
          </w:p>
        </w:tc>
        <w:tc>
          <w:tcPr>
            <w:tcW w:w="1229" w:type="dxa"/>
          </w:tcPr>
          <w:p w14:paraId="13F7D23B" w14:textId="3CFB25C5"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2548E8B1" w14:textId="77777777" w:rsidR="00DE1309" w:rsidRPr="002460E2" w:rsidRDefault="00DE1309" w:rsidP="00DE1309">
            <w:pPr>
              <w:jc w:val="both"/>
              <w:rPr>
                <w:sz w:val="18"/>
                <w:szCs w:val="18"/>
                <w:lang w:val="ro-MD"/>
              </w:rPr>
            </w:pPr>
          </w:p>
        </w:tc>
      </w:tr>
      <w:tr w:rsidR="00DE1309" w:rsidRPr="002460E2" w14:paraId="2CDCE36F" w14:textId="77777777" w:rsidTr="003F5B3C">
        <w:trPr>
          <w:trHeight w:val="918"/>
        </w:trPr>
        <w:tc>
          <w:tcPr>
            <w:tcW w:w="4253" w:type="dxa"/>
          </w:tcPr>
          <w:p w14:paraId="5A2F5DD7" w14:textId="2D9254BB" w:rsidR="00DE1309" w:rsidRPr="002460E2" w:rsidRDefault="00DE1309" w:rsidP="00DE1309">
            <w:pPr>
              <w:rPr>
                <w:sz w:val="18"/>
                <w:szCs w:val="18"/>
                <w:lang w:val="en-US"/>
              </w:rPr>
            </w:pPr>
            <w:r w:rsidRPr="002460E2">
              <w:rPr>
                <w:sz w:val="18"/>
                <w:szCs w:val="18"/>
                <w:lang w:val="en-US"/>
              </w:rPr>
              <w:lastRenderedPageBreak/>
              <w:t>(3) Standardele tehnice de reglementare menționate la articolul 325ap alineatul (3) precizează ce reprezintă o piață emergentă și ce reprezintă o economie avansată în sensul alineatului (1) de la prezentul articol.</w:t>
            </w:r>
          </w:p>
        </w:tc>
        <w:tc>
          <w:tcPr>
            <w:tcW w:w="3685" w:type="dxa"/>
            <w:shd w:val="clear" w:color="auto" w:fill="auto"/>
          </w:tcPr>
          <w:p w14:paraId="031DCB65" w14:textId="5832B0E9" w:rsidR="00DE1309" w:rsidRPr="002460E2" w:rsidRDefault="00C40F9E" w:rsidP="00DE1309">
            <w:pPr>
              <w:spacing w:line="259" w:lineRule="auto"/>
              <w:jc w:val="both"/>
              <w:rPr>
                <w:rFonts w:eastAsia="Calibri"/>
                <w:kern w:val="2"/>
                <w:sz w:val="18"/>
                <w:szCs w:val="18"/>
                <w:lang w:val="ro-MD" w:eastAsia="en-US"/>
              </w:rPr>
            </w:pPr>
            <w:r w:rsidRPr="002460E2">
              <w:rPr>
                <w:rFonts w:eastAsia="Calibri"/>
                <w:kern w:val="2"/>
                <w:sz w:val="18"/>
                <w:szCs w:val="18"/>
                <w:lang w:val="ro-MD" w:eastAsia="en-US"/>
              </w:rPr>
              <w:t>105</w:t>
            </w:r>
            <w:r w:rsidR="00DE1309" w:rsidRPr="002460E2">
              <w:rPr>
                <w:rFonts w:eastAsia="Calibri"/>
                <w:kern w:val="2"/>
                <w:sz w:val="18"/>
                <w:szCs w:val="18"/>
                <w:lang w:val="ro-MD" w:eastAsia="en-US"/>
              </w:rPr>
              <w:t>.</w:t>
            </w:r>
            <w:r w:rsidR="00DE1309" w:rsidRPr="002460E2">
              <w:rPr>
                <w:rFonts w:eastAsia="Calibri"/>
                <w:b/>
                <w:bCs/>
                <w:kern w:val="2"/>
                <w:sz w:val="18"/>
                <w:szCs w:val="18"/>
                <w:lang w:val="ro-MD" w:eastAsia="en-US"/>
              </w:rPr>
              <w:t xml:space="preserve"> </w:t>
            </w:r>
            <w:r w:rsidR="001B131C" w:rsidRPr="001B131C">
              <w:rPr>
                <w:rFonts w:eastAsia="Calibri"/>
                <w:kern w:val="2"/>
                <w:sz w:val="18"/>
                <w:szCs w:val="18"/>
                <w:lang w:val="ro-MD" w:eastAsia="en-US"/>
              </w:rPr>
              <w:t>Standardele tehnice de reglementare prevăzute în actele normative aferente tratamentului riscului de piaţă potrivit abordării standardizate precizează ce reprezintă o piață emergentă și ce reprezintă o economie avansată în sensul punctului 103.</w:t>
            </w:r>
          </w:p>
          <w:p w14:paraId="662FF8EA" w14:textId="77777777" w:rsidR="00DE1309" w:rsidRPr="002460E2" w:rsidRDefault="00DE1309" w:rsidP="00DE1309">
            <w:pPr>
              <w:spacing w:line="259" w:lineRule="auto"/>
              <w:jc w:val="both"/>
              <w:rPr>
                <w:bCs/>
                <w:i/>
                <w:iCs/>
                <w:sz w:val="18"/>
                <w:szCs w:val="18"/>
                <w:lang w:val="ro-MD" w:eastAsia="en-US"/>
              </w:rPr>
            </w:pPr>
          </w:p>
        </w:tc>
        <w:tc>
          <w:tcPr>
            <w:tcW w:w="1229" w:type="dxa"/>
          </w:tcPr>
          <w:p w14:paraId="596D13DB" w14:textId="26A3BF6B"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89F9326" w14:textId="77777777" w:rsidR="00DE1309" w:rsidRPr="002460E2" w:rsidRDefault="00DE1309" w:rsidP="00DE1309">
            <w:pPr>
              <w:jc w:val="both"/>
              <w:rPr>
                <w:sz w:val="18"/>
                <w:szCs w:val="18"/>
                <w:lang w:val="ro-MD"/>
              </w:rPr>
            </w:pPr>
          </w:p>
        </w:tc>
      </w:tr>
      <w:tr w:rsidR="00DE1309" w:rsidRPr="002460E2" w14:paraId="4BA89CE1" w14:textId="77777777" w:rsidTr="003F5B3C">
        <w:trPr>
          <w:trHeight w:val="918"/>
        </w:trPr>
        <w:tc>
          <w:tcPr>
            <w:tcW w:w="4253" w:type="dxa"/>
          </w:tcPr>
          <w:p w14:paraId="290AD1A1" w14:textId="3DCA3D8E" w:rsidR="00DE1309" w:rsidRPr="002460E2" w:rsidRDefault="00DE1309" w:rsidP="00DE1309">
            <w:pPr>
              <w:rPr>
                <w:sz w:val="18"/>
                <w:szCs w:val="18"/>
                <w:lang w:val="en-US"/>
              </w:rPr>
            </w:pPr>
            <w:r w:rsidRPr="002460E2">
              <w:rPr>
                <w:sz w:val="18"/>
                <w:szCs w:val="18"/>
                <w:lang w:val="en-US"/>
              </w:rPr>
              <w:t>(4) Atunci când încadrează o expunere la risc într-un sector, instituțiile se bazează pe o clasificare care este utilizată în mod curent pe piață pentru gruparea emitenților în funcție de sectorul de activitate. Instituțiile încadrează fiecare emitent într-una din benzile sectoriale de la alineatul (1) tabelul 1 și încadrează toți emitenții dintr-un anumit subsector în același sector. Expunerile la risc provenind de la orice emitent pe care o instituție nu le poate încadra într-un anumit sector în acest mod sunt încadrate în banda 11. Emitenții de titluri de capital multinaționali sau multisectoriali sunt încadrați într-o anumită bandă pe baza celei mai semnificative regiuni sau a celui mai semnificativ sector în care își desfășoară activitatea emitentul de titluri de capital.</w:t>
            </w:r>
          </w:p>
          <w:p w14:paraId="102B95B3" w14:textId="77777777" w:rsidR="00DE1309" w:rsidRPr="002460E2" w:rsidRDefault="00DE1309" w:rsidP="00DE1309">
            <w:pPr>
              <w:rPr>
                <w:sz w:val="18"/>
                <w:szCs w:val="18"/>
                <w:lang w:val="en-US"/>
              </w:rPr>
            </w:pPr>
          </w:p>
        </w:tc>
        <w:tc>
          <w:tcPr>
            <w:tcW w:w="3685" w:type="dxa"/>
            <w:shd w:val="clear" w:color="auto" w:fill="auto"/>
          </w:tcPr>
          <w:p w14:paraId="36660536" w14:textId="6B9262A3" w:rsidR="00DE1309" w:rsidRPr="002460E2" w:rsidRDefault="00DE1309" w:rsidP="00DE1309">
            <w:pPr>
              <w:spacing w:line="259" w:lineRule="auto"/>
              <w:jc w:val="both"/>
              <w:rPr>
                <w:rFonts w:eastAsia="Calibri"/>
                <w:kern w:val="2"/>
                <w:sz w:val="18"/>
                <w:szCs w:val="18"/>
                <w:lang w:val="ro-MD" w:eastAsia="en-US"/>
              </w:rPr>
            </w:pPr>
            <w:r w:rsidRPr="002460E2">
              <w:rPr>
                <w:rFonts w:eastAsia="Calibri"/>
                <w:kern w:val="2"/>
                <w:sz w:val="18"/>
                <w:szCs w:val="18"/>
                <w:lang w:val="ro-MD" w:eastAsia="en-US"/>
              </w:rPr>
              <w:t>10</w:t>
            </w:r>
            <w:r w:rsidR="00C40F9E" w:rsidRPr="002460E2">
              <w:rPr>
                <w:rFonts w:eastAsia="Calibri"/>
                <w:kern w:val="2"/>
                <w:sz w:val="18"/>
                <w:szCs w:val="18"/>
                <w:lang w:val="ro-MD" w:eastAsia="en-US"/>
              </w:rPr>
              <w:t>6</w:t>
            </w:r>
            <w:r w:rsidRPr="002460E2">
              <w:rPr>
                <w:rFonts w:eastAsia="Calibri"/>
                <w:kern w:val="2"/>
                <w:sz w:val="18"/>
                <w:szCs w:val="18"/>
                <w:lang w:val="ro-MD" w:eastAsia="en-US"/>
              </w:rPr>
              <w:t xml:space="preserve">. Atunci când încadrează o expunere la risc într-un sector, băncile se bazează pe o clasificare care este utilizată în mod curent pe piață pentru gruparea emitenților în funcție de sectorul de activitate. Băncile încadrează fiecare emitent într-una din benzile sectoriale de la punctul </w:t>
            </w:r>
            <w:r w:rsidR="00C40F9E" w:rsidRPr="002460E2">
              <w:rPr>
                <w:rFonts w:eastAsia="Calibri"/>
                <w:kern w:val="2"/>
                <w:sz w:val="18"/>
                <w:szCs w:val="18"/>
                <w:lang w:val="ro-MD" w:eastAsia="en-US"/>
              </w:rPr>
              <w:t>103</w:t>
            </w:r>
            <w:r w:rsidRPr="002460E2">
              <w:rPr>
                <w:rFonts w:eastAsia="Calibri"/>
                <w:kern w:val="2"/>
                <w:sz w:val="18"/>
                <w:szCs w:val="18"/>
                <w:lang w:val="ro-MD" w:eastAsia="en-US"/>
              </w:rPr>
              <w:t>,  tabelul 1 și încadrează toți emitenții dintr-un anumit subsector în același sector. Expunerile la risc provenind de la orice emitent pe care banca nu le poate încadra într-un anumit sector în acest mod sunt încadrate în banda 11. Emitenții de titluri de capital multinaționali sau multisectoriali sunt încadrați într-o anumită bandă pe baza celei mai semnificative regiuni sau a celui mai semnificativ sector în care își desfășoară activitatea emitentul de titluri de capital.</w:t>
            </w:r>
          </w:p>
          <w:p w14:paraId="731AB4C3" w14:textId="77777777" w:rsidR="00DE1309" w:rsidRPr="002460E2" w:rsidRDefault="00DE1309" w:rsidP="00DE1309">
            <w:pPr>
              <w:jc w:val="center"/>
              <w:rPr>
                <w:bCs/>
                <w:i/>
                <w:iCs/>
                <w:sz w:val="18"/>
                <w:szCs w:val="18"/>
                <w:lang w:val="ro-MD" w:eastAsia="en-US"/>
              </w:rPr>
            </w:pPr>
          </w:p>
        </w:tc>
        <w:tc>
          <w:tcPr>
            <w:tcW w:w="1229" w:type="dxa"/>
          </w:tcPr>
          <w:p w14:paraId="62959AA5" w14:textId="7511BEF9"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205A84E2" w14:textId="77777777" w:rsidR="00DE1309" w:rsidRPr="002460E2" w:rsidRDefault="00DE1309" w:rsidP="00DE1309">
            <w:pPr>
              <w:jc w:val="both"/>
              <w:rPr>
                <w:sz w:val="18"/>
                <w:szCs w:val="18"/>
                <w:lang w:val="ro-MD"/>
              </w:rPr>
            </w:pPr>
          </w:p>
        </w:tc>
      </w:tr>
      <w:tr w:rsidR="00DE1309" w:rsidRPr="002460E2" w14:paraId="055194F8" w14:textId="77777777" w:rsidTr="003F5B3C">
        <w:trPr>
          <w:trHeight w:val="918"/>
        </w:trPr>
        <w:tc>
          <w:tcPr>
            <w:tcW w:w="4253" w:type="dxa"/>
          </w:tcPr>
          <w:p w14:paraId="198500F8" w14:textId="14505D16" w:rsidR="00DE1309" w:rsidRPr="002460E2" w:rsidRDefault="00DE1309" w:rsidP="00DE1309">
            <w:pPr>
              <w:rPr>
                <w:sz w:val="18"/>
                <w:szCs w:val="18"/>
                <w:lang w:val="en-US"/>
              </w:rPr>
            </w:pPr>
            <w:r w:rsidRPr="002460E2">
              <w:rPr>
                <w:sz w:val="18"/>
                <w:szCs w:val="18"/>
                <w:lang w:val="en-US"/>
              </w:rPr>
              <w:t>(5)   Ponderile de risc pentru riscul de devalorizare a titlurilor de capital vega se stabilesc la 78 % pentru benzile 1-8 și pentru banda 12 și la 100 % pentru toate celelalte benzi.</w:t>
            </w:r>
          </w:p>
        </w:tc>
        <w:tc>
          <w:tcPr>
            <w:tcW w:w="3685" w:type="dxa"/>
            <w:shd w:val="clear" w:color="auto" w:fill="auto"/>
          </w:tcPr>
          <w:p w14:paraId="4D0379F0" w14:textId="2ABF55F8" w:rsidR="00DE1309" w:rsidRPr="002460E2" w:rsidRDefault="00DE1309" w:rsidP="00DE1309">
            <w:pPr>
              <w:spacing w:line="259" w:lineRule="auto"/>
              <w:jc w:val="both"/>
              <w:rPr>
                <w:rFonts w:eastAsia="Calibri"/>
                <w:kern w:val="2"/>
                <w:sz w:val="18"/>
                <w:szCs w:val="18"/>
                <w:lang w:val="ro-MD" w:eastAsia="en-US"/>
              </w:rPr>
            </w:pPr>
            <w:r w:rsidRPr="002460E2">
              <w:rPr>
                <w:rFonts w:eastAsia="Calibri"/>
                <w:kern w:val="2"/>
                <w:sz w:val="18"/>
                <w:szCs w:val="18"/>
                <w:lang w:val="ro-MD" w:eastAsia="en-US"/>
              </w:rPr>
              <w:t>10</w:t>
            </w:r>
            <w:r w:rsidR="00C40F9E" w:rsidRPr="002460E2">
              <w:rPr>
                <w:rFonts w:eastAsia="Calibri"/>
                <w:kern w:val="2"/>
                <w:sz w:val="18"/>
                <w:szCs w:val="18"/>
                <w:lang w:val="ro-MD" w:eastAsia="en-US"/>
              </w:rPr>
              <w:t>7</w:t>
            </w:r>
            <w:r w:rsidRPr="002460E2">
              <w:rPr>
                <w:rFonts w:eastAsia="Calibri"/>
                <w:kern w:val="2"/>
                <w:sz w:val="18"/>
                <w:szCs w:val="18"/>
                <w:lang w:val="ro-MD" w:eastAsia="en-US"/>
              </w:rPr>
              <w:t>. Ponderile de risc pentru riscul de devalorizare a titlurilor de capital vega se stabilesc la 78 % pentru benzile 1-8 și pentru banda 12 și la 100 % pentru toate celelalte benzi.</w:t>
            </w:r>
          </w:p>
          <w:p w14:paraId="1E82EB6F" w14:textId="77777777" w:rsidR="00DE1309" w:rsidRPr="002460E2" w:rsidRDefault="00DE1309" w:rsidP="00DE1309">
            <w:pPr>
              <w:jc w:val="center"/>
              <w:rPr>
                <w:bCs/>
                <w:i/>
                <w:iCs/>
                <w:sz w:val="18"/>
                <w:szCs w:val="18"/>
                <w:lang w:val="ro-MD" w:eastAsia="en-US"/>
              </w:rPr>
            </w:pPr>
          </w:p>
        </w:tc>
        <w:tc>
          <w:tcPr>
            <w:tcW w:w="1229" w:type="dxa"/>
          </w:tcPr>
          <w:p w14:paraId="1F8EC3CA" w14:textId="3A816324"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2F9D448" w14:textId="77777777" w:rsidR="00DE1309" w:rsidRPr="002460E2" w:rsidRDefault="00DE1309" w:rsidP="00DE1309">
            <w:pPr>
              <w:jc w:val="both"/>
              <w:rPr>
                <w:sz w:val="18"/>
                <w:szCs w:val="18"/>
                <w:lang w:val="ro-MD"/>
              </w:rPr>
            </w:pPr>
          </w:p>
        </w:tc>
      </w:tr>
      <w:tr w:rsidR="00DE1309" w:rsidRPr="002460E2" w14:paraId="3A82CEB7" w14:textId="77777777" w:rsidTr="003F5B3C">
        <w:trPr>
          <w:trHeight w:val="918"/>
        </w:trPr>
        <w:tc>
          <w:tcPr>
            <w:tcW w:w="4253" w:type="dxa"/>
          </w:tcPr>
          <w:p w14:paraId="68547920" w14:textId="77777777" w:rsidR="00DE1309" w:rsidRPr="002460E2" w:rsidRDefault="00DE1309" w:rsidP="00DE1309">
            <w:pPr>
              <w:rPr>
                <w:i/>
                <w:iCs/>
                <w:sz w:val="18"/>
                <w:szCs w:val="18"/>
                <w:lang w:val="en-US"/>
              </w:rPr>
            </w:pPr>
            <w:r w:rsidRPr="002460E2">
              <w:rPr>
                <w:i/>
                <w:iCs/>
                <w:sz w:val="18"/>
                <w:szCs w:val="18"/>
                <w:lang w:val="en-US"/>
              </w:rPr>
              <w:lastRenderedPageBreak/>
              <w:t>Articolul 383w</w:t>
            </w:r>
          </w:p>
          <w:p w14:paraId="0BB7AA47" w14:textId="77777777" w:rsidR="00DE1309" w:rsidRPr="002460E2" w:rsidRDefault="00DE1309" w:rsidP="00DE1309">
            <w:pPr>
              <w:rPr>
                <w:b/>
                <w:bCs/>
                <w:sz w:val="18"/>
                <w:szCs w:val="18"/>
                <w:lang w:val="en-US"/>
              </w:rPr>
            </w:pPr>
            <w:r w:rsidRPr="002460E2">
              <w:rPr>
                <w:b/>
                <w:bCs/>
                <w:sz w:val="18"/>
                <w:szCs w:val="18"/>
                <w:lang w:val="en-US"/>
              </w:rPr>
              <w:t>Corelațiile dintre benzi pentru riscul de devalorizare a titlurilor de capital</w:t>
            </w:r>
          </w:p>
          <w:p w14:paraId="200C1D9E" w14:textId="77777777" w:rsidR="00DE1309" w:rsidRPr="002460E2" w:rsidRDefault="00DE1309" w:rsidP="00DE1309">
            <w:pPr>
              <w:rPr>
                <w:sz w:val="18"/>
                <w:szCs w:val="18"/>
                <w:lang w:val="en-US"/>
              </w:rPr>
            </w:pPr>
            <w:r w:rsidRPr="002460E2">
              <w:rPr>
                <w:sz w:val="18"/>
                <w:szCs w:val="18"/>
                <w:lang w:val="en-US"/>
              </w:rPr>
              <w:t>Parametrul de corelație dintre benzi pentru riscul de devalorizare a titlurilor de capital delta și vega se stabilește la:</w:t>
            </w:r>
          </w:p>
          <w:p w14:paraId="1D6B52B6" w14:textId="6A04D442" w:rsidR="00DE1309" w:rsidRPr="002460E2" w:rsidRDefault="00DE1309" w:rsidP="00DE1309">
            <w:pPr>
              <w:rPr>
                <w:sz w:val="18"/>
                <w:szCs w:val="18"/>
                <w:lang w:val="en-US"/>
              </w:rPr>
            </w:pPr>
            <w:r w:rsidRPr="002460E2">
              <w:rPr>
                <w:sz w:val="18"/>
                <w:szCs w:val="18"/>
                <w:lang w:val="en-US"/>
              </w:rPr>
              <w:t>(a) 15 % dacă cele două benzi se încadrează în benzile 1-10 de la articolul 383v alineatul (1) tabelul 1;</w:t>
            </w:r>
          </w:p>
          <w:p w14:paraId="6BF07E6E" w14:textId="564FD0BA" w:rsidR="00DE1309" w:rsidRPr="002460E2" w:rsidRDefault="00DE1309" w:rsidP="00DE1309">
            <w:pPr>
              <w:rPr>
                <w:sz w:val="18"/>
                <w:szCs w:val="18"/>
                <w:lang w:val="en-US"/>
              </w:rPr>
            </w:pPr>
            <w:r w:rsidRPr="002460E2">
              <w:rPr>
                <w:sz w:val="18"/>
                <w:szCs w:val="18"/>
                <w:lang w:val="en-US"/>
              </w:rPr>
              <w:t>(b) 75 % dacă cele două benzi sunt benzile 12 și 13 de la articolul 383v alineatul (1) tabelul 1;</w:t>
            </w:r>
          </w:p>
          <w:p w14:paraId="211618F2" w14:textId="4F0746DC" w:rsidR="00DE1309" w:rsidRPr="002460E2" w:rsidRDefault="00DE1309" w:rsidP="00DE1309">
            <w:pPr>
              <w:rPr>
                <w:sz w:val="18"/>
                <w:szCs w:val="18"/>
                <w:lang w:val="en-US"/>
              </w:rPr>
            </w:pPr>
            <w:r w:rsidRPr="002460E2">
              <w:rPr>
                <w:sz w:val="18"/>
                <w:szCs w:val="18"/>
                <w:lang w:val="en-US"/>
              </w:rPr>
              <w:t>(c) 45 % dacă una dintre benzi este banda 12 sau 13 de la articolul 383v alineatul (1) tabelul 1, iar cealaltă bandă se încadrează în benzile 1-10 de la articolul 383v alineatul (1) tabelul 1;</w:t>
            </w:r>
          </w:p>
          <w:p w14:paraId="6A05AA21" w14:textId="70BCA508" w:rsidR="00DE1309" w:rsidRPr="002460E2" w:rsidRDefault="00DE1309" w:rsidP="00DE1309">
            <w:pPr>
              <w:rPr>
                <w:sz w:val="18"/>
                <w:szCs w:val="18"/>
                <w:lang w:val="en-US"/>
              </w:rPr>
            </w:pPr>
            <w:r w:rsidRPr="002460E2">
              <w:rPr>
                <w:sz w:val="18"/>
                <w:szCs w:val="18"/>
                <w:lang w:val="en-US"/>
              </w:rPr>
              <w:t>(d) 0 % dacă una dintre cele două benzi este banda 11 de la articolul 383v alineatul (1) tabelul 1.</w:t>
            </w:r>
          </w:p>
        </w:tc>
        <w:tc>
          <w:tcPr>
            <w:tcW w:w="3685" w:type="dxa"/>
            <w:shd w:val="clear" w:color="auto" w:fill="auto"/>
          </w:tcPr>
          <w:p w14:paraId="423B4994" w14:textId="77777777" w:rsidR="00B62813" w:rsidRPr="002460E2" w:rsidRDefault="00DE1309" w:rsidP="00B62813">
            <w:pPr>
              <w:spacing w:line="259" w:lineRule="auto"/>
              <w:jc w:val="both"/>
              <w:rPr>
                <w:rFonts w:eastAsia="Calibri"/>
                <w:kern w:val="2"/>
                <w:sz w:val="18"/>
                <w:szCs w:val="18"/>
                <w:lang w:val="ro-MD" w:eastAsia="en-US"/>
              </w:rPr>
            </w:pPr>
            <w:r w:rsidRPr="002460E2">
              <w:rPr>
                <w:rFonts w:eastAsia="Calibri"/>
                <w:kern w:val="2"/>
                <w:sz w:val="18"/>
                <w:szCs w:val="18"/>
                <w:lang w:val="ro-MD" w:eastAsia="en-US"/>
              </w:rPr>
              <w:t>10</w:t>
            </w:r>
            <w:r w:rsidR="00B62813" w:rsidRPr="002460E2">
              <w:rPr>
                <w:rFonts w:eastAsia="Calibri"/>
                <w:kern w:val="2"/>
                <w:sz w:val="18"/>
                <w:szCs w:val="18"/>
                <w:lang w:val="ro-MD" w:eastAsia="en-US"/>
              </w:rPr>
              <w:t>8</w:t>
            </w:r>
            <w:r w:rsidRPr="002460E2">
              <w:rPr>
                <w:rFonts w:eastAsia="Calibri"/>
                <w:kern w:val="2"/>
                <w:sz w:val="18"/>
                <w:szCs w:val="18"/>
                <w:lang w:val="ro-MD" w:eastAsia="en-US"/>
              </w:rPr>
              <w:t xml:space="preserve">. </w:t>
            </w:r>
            <w:r w:rsidR="00B62813" w:rsidRPr="002460E2">
              <w:rPr>
                <w:rFonts w:eastAsia="Calibri"/>
                <w:kern w:val="2"/>
                <w:sz w:val="18"/>
                <w:szCs w:val="18"/>
                <w:lang w:val="ro-MD" w:eastAsia="en-US"/>
              </w:rPr>
              <w:t>Parametrul de corelație dintre benzi pentru riscul de devalorizare a titlurilor de capital delta și vega se stabilește la:</w:t>
            </w:r>
          </w:p>
          <w:p w14:paraId="7782996A" w14:textId="77777777" w:rsidR="00B62813" w:rsidRPr="00B62813" w:rsidRDefault="00B62813" w:rsidP="00B62813">
            <w:pPr>
              <w:spacing w:line="259" w:lineRule="auto"/>
              <w:jc w:val="both"/>
              <w:rPr>
                <w:rFonts w:eastAsia="Calibri"/>
                <w:kern w:val="2"/>
                <w:sz w:val="18"/>
                <w:szCs w:val="18"/>
                <w:lang w:val="ro-MD" w:eastAsia="en-US"/>
              </w:rPr>
            </w:pPr>
            <w:r w:rsidRPr="00B62813">
              <w:rPr>
                <w:rFonts w:eastAsia="Calibri"/>
                <w:kern w:val="2"/>
                <w:sz w:val="18"/>
                <w:szCs w:val="18"/>
                <w:lang w:val="ro-MD" w:eastAsia="en-US"/>
              </w:rPr>
              <w:t>108.1. 15 % dacă cele două benzi se încadrează în benzile 1-10 de la punctul 103, tabelul 1;</w:t>
            </w:r>
          </w:p>
          <w:p w14:paraId="684471DD" w14:textId="77777777" w:rsidR="00B62813" w:rsidRPr="00B62813" w:rsidRDefault="00B62813" w:rsidP="00B62813">
            <w:pPr>
              <w:spacing w:line="259" w:lineRule="auto"/>
              <w:jc w:val="both"/>
              <w:rPr>
                <w:rFonts w:eastAsia="Calibri"/>
                <w:kern w:val="2"/>
                <w:sz w:val="18"/>
                <w:szCs w:val="18"/>
                <w:lang w:val="ro-MD" w:eastAsia="en-US"/>
              </w:rPr>
            </w:pPr>
            <w:r w:rsidRPr="00B62813">
              <w:rPr>
                <w:rFonts w:eastAsia="Calibri"/>
                <w:kern w:val="2"/>
                <w:sz w:val="18"/>
                <w:szCs w:val="18"/>
                <w:lang w:val="ro-MD" w:eastAsia="en-US"/>
              </w:rPr>
              <w:t>108.2. 75 % dacă cele două benzi sunt benzile 12 și 13 de la punctul 103, tabelul 1;</w:t>
            </w:r>
          </w:p>
          <w:p w14:paraId="24D11CF4" w14:textId="77777777" w:rsidR="00B62813" w:rsidRPr="00B62813" w:rsidRDefault="00B62813" w:rsidP="00B62813">
            <w:pPr>
              <w:spacing w:line="259" w:lineRule="auto"/>
              <w:jc w:val="both"/>
              <w:rPr>
                <w:rFonts w:eastAsia="Calibri"/>
                <w:kern w:val="2"/>
                <w:sz w:val="18"/>
                <w:szCs w:val="18"/>
                <w:lang w:val="ro-MD" w:eastAsia="en-US"/>
              </w:rPr>
            </w:pPr>
            <w:r w:rsidRPr="00B62813">
              <w:rPr>
                <w:rFonts w:eastAsia="Calibri"/>
                <w:kern w:val="2"/>
                <w:sz w:val="18"/>
                <w:szCs w:val="18"/>
                <w:lang w:val="ro-MD" w:eastAsia="en-US"/>
              </w:rPr>
              <w:t>108.3. 45 % dacă una dintre benzi este banda 12 sau 13 de la punctul 103, tabelul 1, iar cealaltă bandă se încadrează în benzile 1-10 de la punctul 103, tabelul 1;</w:t>
            </w:r>
          </w:p>
          <w:p w14:paraId="0550852D" w14:textId="77777777" w:rsidR="00B62813" w:rsidRPr="00B62813" w:rsidRDefault="00B62813" w:rsidP="00B62813">
            <w:pPr>
              <w:spacing w:line="259" w:lineRule="auto"/>
              <w:jc w:val="both"/>
              <w:rPr>
                <w:rFonts w:eastAsia="Calibri"/>
                <w:kern w:val="2"/>
                <w:sz w:val="18"/>
                <w:szCs w:val="18"/>
                <w:lang w:val="ro-MD" w:eastAsia="en-US"/>
              </w:rPr>
            </w:pPr>
            <w:r w:rsidRPr="00B62813">
              <w:rPr>
                <w:rFonts w:eastAsia="Calibri"/>
                <w:kern w:val="2"/>
                <w:sz w:val="18"/>
                <w:szCs w:val="18"/>
                <w:lang w:val="ro-MD" w:eastAsia="en-US"/>
              </w:rPr>
              <w:t>108.4. 0 % dacă una dintre cele două benzi este banda 11 de la punctul 103, tabelul 1.</w:t>
            </w:r>
          </w:p>
          <w:p w14:paraId="765C9EE8" w14:textId="7D11BC3A" w:rsidR="00DE1309" w:rsidRPr="002460E2" w:rsidRDefault="00DE1309" w:rsidP="00DE1309">
            <w:pPr>
              <w:jc w:val="center"/>
              <w:rPr>
                <w:bCs/>
                <w:i/>
                <w:iCs/>
                <w:sz w:val="18"/>
                <w:szCs w:val="18"/>
                <w:lang w:val="ro-MD" w:eastAsia="en-US"/>
              </w:rPr>
            </w:pPr>
          </w:p>
        </w:tc>
        <w:tc>
          <w:tcPr>
            <w:tcW w:w="1229" w:type="dxa"/>
          </w:tcPr>
          <w:p w14:paraId="5A493233" w14:textId="79AC5ECA"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517BB8C" w14:textId="77777777" w:rsidR="00DE1309" w:rsidRPr="002460E2" w:rsidRDefault="00DE1309" w:rsidP="00DE1309">
            <w:pPr>
              <w:jc w:val="both"/>
              <w:rPr>
                <w:sz w:val="18"/>
                <w:szCs w:val="18"/>
                <w:lang w:val="ro-MD"/>
              </w:rPr>
            </w:pPr>
          </w:p>
        </w:tc>
      </w:tr>
      <w:tr w:rsidR="00DE1309" w:rsidRPr="002460E2" w14:paraId="4FC144DC" w14:textId="77777777" w:rsidTr="003F5B3C">
        <w:trPr>
          <w:trHeight w:val="918"/>
        </w:trPr>
        <w:tc>
          <w:tcPr>
            <w:tcW w:w="4253" w:type="dxa"/>
          </w:tcPr>
          <w:p w14:paraId="20FB8061" w14:textId="77777777" w:rsidR="00DE1309" w:rsidRPr="002460E2" w:rsidRDefault="00DE1309" w:rsidP="00DE1309">
            <w:pPr>
              <w:rPr>
                <w:i/>
                <w:iCs/>
                <w:sz w:val="18"/>
                <w:szCs w:val="18"/>
                <w:lang w:val="en-US"/>
              </w:rPr>
            </w:pPr>
            <w:r w:rsidRPr="002460E2">
              <w:rPr>
                <w:i/>
                <w:iCs/>
                <w:sz w:val="18"/>
                <w:szCs w:val="18"/>
                <w:lang w:val="en-US"/>
              </w:rPr>
              <w:t>Articolul 383x</w:t>
            </w:r>
          </w:p>
          <w:p w14:paraId="6B78BBD0" w14:textId="77777777" w:rsidR="00DE1309" w:rsidRPr="002460E2" w:rsidRDefault="00DE1309" w:rsidP="00DE1309">
            <w:pPr>
              <w:rPr>
                <w:b/>
                <w:bCs/>
                <w:sz w:val="18"/>
                <w:szCs w:val="18"/>
                <w:lang w:val="en-US"/>
              </w:rPr>
            </w:pPr>
            <w:r w:rsidRPr="002460E2">
              <w:rPr>
                <w:b/>
                <w:bCs/>
                <w:sz w:val="18"/>
                <w:szCs w:val="18"/>
                <w:lang w:val="en-US"/>
              </w:rPr>
              <w:t>Benzile de ponderi de risc pentru riscul de marfă</w:t>
            </w:r>
          </w:p>
          <w:p w14:paraId="0F2FDD06" w14:textId="570423BA" w:rsidR="00DE1309" w:rsidRPr="002460E2" w:rsidRDefault="00DE1309" w:rsidP="00DE1309">
            <w:pPr>
              <w:rPr>
                <w:sz w:val="18"/>
                <w:szCs w:val="18"/>
                <w:lang w:val="en-US"/>
              </w:rPr>
            </w:pPr>
            <w:r w:rsidRPr="002460E2">
              <w:rPr>
                <w:sz w:val="18"/>
                <w:szCs w:val="18"/>
                <w:lang w:val="en-US"/>
              </w:rPr>
              <w:t>(1) Ponderile de risc pentru sensibilitățile delta la factori de risc de preț spot al mărfurilor sunt aceleași pentru toate expunerile la riscul de marfă din fiecare bandă din tabelul 1 și au următoarele valori:</w:t>
            </w:r>
          </w:p>
          <w:p w14:paraId="5D9001B3" w14:textId="77777777" w:rsidR="00DE1309" w:rsidRPr="002460E2" w:rsidRDefault="00DE1309" w:rsidP="00DE1309">
            <w:pPr>
              <w:rPr>
                <w:sz w:val="18"/>
                <w:szCs w:val="18"/>
                <w:lang w:val="en-US"/>
              </w:rPr>
            </w:pPr>
          </w:p>
          <w:tbl>
            <w:tblPr>
              <w:tblW w:w="244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7"/>
              <w:gridCol w:w="1145"/>
              <w:gridCol w:w="779"/>
            </w:tblGrid>
            <w:tr w:rsidR="00DE1309" w:rsidRPr="002460E2" w14:paraId="33131D17" w14:textId="77777777" w:rsidTr="000E21FB">
              <w:trPr>
                <w:trHeight w:val="680"/>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79AF9F" w14:textId="77777777" w:rsidR="00DE1309" w:rsidRPr="002460E2" w:rsidRDefault="00DE1309" w:rsidP="00DE1309">
                  <w:pPr>
                    <w:rPr>
                      <w:b/>
                      <w:bCs/>
                      <w:sz w:val="18"/>
                      <w:szCs w:val="18"/>
                    </w:rPr>
                  </w:pPr>
                  <w:bookmarkStart w:id="11" w:name="_Hlk198218626"/>
                  <w:r w:rsidRPr="002460E2">
                    <w:rPr>
                      <w:b/>
                      <w:bCs/>
                      <w:sz w:val="18"/>
                      <w:szCs w:val="18"/>
                    </w:rPr>
                    <w:t>Numărul benzii</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532C85" w14:textId="77777777" w:rsidR="00DE1309" w:rsidRPr="002460E2" w:rsidRDefault="00DE1309" w:rsidP="00DE1309">
                  <w:pPr>
                    <w:rPr>
                      <w:b/>
                      <w:bCs/>
                      <w:sz w:val="18"/>
                      <w:szCs w:val="18"/>
                    </w:rPr>
                  </w:pPr>
                  <w:r w:rsidRPr="002460E2">
                    <w:rPr>
                      <w:b/>
                      <w:bCs/>
                      <w:sz w:val="18"/>
                      <w:szCs w:val="18"/>
                    </w:rPr>
                    <w:t>Denumirea benzii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DFC846" w14:textId="77777777" w:rsidR="00DE1309" w:rsidRPr="002460E2" w:rsidRDefault="00DE1309" w:rsidP="00DE1309">
                  <w:pPr>
                    <w:rPr>
                      <w:b/>
                      <w:bCs/>
                      <w:sz w:val="18"/>
                      <w:szCs w:val="18"/>
                      <w:lang w:val="en-US"/>
                    </w:rPr>
                  </w:pPr>
                  <w:r w:rsidRPr="002460E2">
                    <w:rPr>
                      <w:b/>
                      <w:bCs/>
                      <w:sz w:val="18"/>
                      <w:szCs w:val="18"/>
                      <w:lang w:val="en-US"/>
                    </w:rPr>
                    <w:t>Ponderea de risc pentru prețul spot al mărfurilor</w:t>
                  </w:r>
                </w:p>
              </w:tc>
            </w:tr>
            <w:tr w:rsidR="00DE1309" w:rsidRPr="002460E2" w14:paraId="48BD2DC3"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4FD843" w14:textId="77777777" w:rsidR="00DE1309" w:rsidRPr="002460E2" w:rsidRDefault="00DE1309" w:rsidP="00DE1309">
                  <w:pPr>
                    <w:rPr>
                      <w:sz w:val="18"/>
                      <w:szCs w:val="18"/>
                    </w:rPr>
                  </w:pPr>
                  <w:r w:rsidRPr="002460E2">
                    <w:rPr>
                      <w:sz w:val="18"/>
                      <w:szCs w:val="18"/>
                    </w:rPr>
                    <w:t>1</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288B89" w14:textId="77777777" w:rsidR="00DE1309" w:rsidRPr="002460E2" w:rsidRDefault="00DE1309" w:rsidP="00DE1309">
                  <w:pPr>
                    <w:rPr>
                      <w:sz w:val="18"/>
                      <w:szCs w:val="18"/>
                    </w:rPr>
                  </w:pPr>
                  <w:r w:rsidRPr="002460E2">
                    <w:rPr>
                      <w:sz w:val="18"/>
                      <w:szCs w:val="18"/>
                    </w:rPr>
                    <w:t>Energie – combustibili solizi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7DD0B9" w14:textId="77777777" w:rsidR="00DE1309" w:rsidRPr="002460E2" w:rsidRDefault="00DE1309" w:rsidP="00DE1309">
                  <w:pPr>
                    <w:rPr>
                      <w:sz w:val="18"/>
                      <w:szCs w:val="18"/>
                    </w:rPr>
                  </w:pPr>
                  <w:r w:rsidRPr="002460E2">
                    <w:rPr>
                      <w:sz w:val="18"/>
                      <w:szCs w:val="18"/>
                    </w:rPr>
                    <w:t>30 %</w:t>
                  </w:r>
                </w:p>
              </w:tc>
            </w:tr>
            <w:tr w:rsidR="00DE1309" w:rsidRPr="002460E2" w14:paraId="5DC8ADAA"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9162B1" w14:textId="77777777" w:rsidR="00DE1309" w:rsidRPr="002460E2" w:rsidRDefault="00DE1309" w:rsidP="00DE1309">
                  <w:pPr>
                    <w:rPr>
                      <w:sz w:val="18"/>
                      <w:szCs w:val="18"/>
                    </w:rPr>
                  </w:pPr>
                  <w:r w:rsidRPr="002460E2">
                    <w:rPr>
                      <w:sz w:val="18"/>
                      <w:szCs w:val="18"/>
                    </w:rPr>
                    <w:t>2</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83D368" w14:textId="77777777" w:rsidR="00DE1309" w:rsidRPr="002460E2" w:rsidRDefault="00DE1309" w:rsidP="00DE1309">
                  <w:pPr>
                    <w:rPr>
                      <w:sz w:val="18"/>
                      <w:szCs w:val="18"/>
                    </w:rPr>
                  </w:pPr>
                  <w:r w:rsidRPr="002460E2">
                    <w:rPr>
                      <w:sz w:val="18"/>
                      <w:szCs w:val="18"/>
                    </w:rPr>
                    <w:t>Energie – combustibili lichizi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51EB9D" w14:textId="77777777" w:rsidR="00DE1309" w:rsidRPr="002460E2" w:rsidRDefault="00DE1309" w:rsidP="00DE1309">
                  <w:pPr>
                    <w:rPr>
                      <w:sz w:val="18"/>
                      <w:szCs w:val="18"/>
                    </w:rPr>
                  </w:pPr>
                  <w:r w:rsidRPr="002460E2">
                    <w:rPr>
                      <w:sz w:val="18"/>
                      <w:szCs w:val="18"/>
                    </w:rPr>
                    <w:t>35 %</w:t>
                  </w:r>
                </w:p>
              </w:tc>
            </w:tr>
            <w:tr w:rsidR="00DE1309" w:rsidRPr="002460E2" w14:paraId="17C565A7"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BB4578" w14:textId="77777777" w:rsidR="00DE1309" w:rsidRPr="002460E2" w:rsidRDefault="00DE1309" w:rsidP="00DE1309">
                  <w:pPr>
                    <w:rPr>
                      <w:sz w:val="18"/>
                      <w:szCs w:val="18"/>
                    </w:rPr>
                  </w:pPr>
                  <w:r w:rsidRPr="002460E2">
                    <w:rPr>
                      <w:sz w:val="18"/>
                      <w:szCs w:val="18"/>
                    </w:rPr>
                    <w:lastRenderedPageBreak/>
                    <w:t>3</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651052" w14:textId="77777777" w:rsidR="00DE1309" w:rsidRPr="002460E2" w:rsidRDefault="00DE1309" w:rsidP="00DE1309">
                  <w:pPr>
                    <w:rPr>
                      <w:sz w:val="18"/>
                      <w:szCs w:val="18"/>
                    </w:rPr>
                  </w:pPr>
                  <w:r w:rsidRPr="002460E2">
                    <w:rPr>
                      <w:sz w:val="18"/>
                      <w:szCs w:val="18"/>
                    </w:rPr>
                    <w:t>Energie – energie electrică</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2FD9DB" w14:textId="77777777" w:rsidR="00DE1309" w:rsidRPr="002460E2" w:rsidRDefault="00DE1309" w:rsidP="00DE1309">
                  <w:pPr>
                    <w:rPr>
                      <w:sz w:val="18"/>
                      <w:szCs w:val="18"/>
                    </w:rPr>
                  </w:pPr>
                  <w:r w:rsidRPr="002460E2">
                    <w:rPr>
                      <w:sz w:val="18"/>
                      <w:szCs w:val="18"/>
                    </w:rPr>
                    <w:t>60 %</w:t>
                  </w:r>
                </w:p>
              </w:tc>
            </w:tr>
            <w:tr w:rsidR="00DE1309" w:rsidRPr="002460E2" w14:paraId="10AED53E" w14:textId="77777777" w:rsidTr="000E21FB">
              <w:trPr>
                <w:trHeight w:val="66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D968E6" w14:textId="77777777" w:rsidR="00DE1309" w:rsidRPr="002460E2" w:rsidRDefault="00DE1309" w:rsidP="00DE1309">
                  <w:pPr>
                    <w:rPr>
                      <w:sz w:val="18"/>
                      <w:szCs w:val="18"/>
                    </w:rPr>
                  </w:pPr>
                  <w:r w:rsidRPr="002460E2">
                    <w:rPr>
                      <w:sz w:val="18"/>
                      <w:szCs w:val="18"/>
                    </w:rPr>
                    <w:t>4</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99FFFE" w14:textId="77777777" w:rsidR="00DE1309" w:rsidRPr="002460E2" w:rsidRDefault="00DE1309" w:rsidP="00DE1309">
                  <w:pPr>
                    <w:rPr>
                      <w:sz w:val="18"/>
                      <w:szCs w:val="18"/>
                      <w:lang w:val="en-US"/>
                    </w:rPr>
                  </w:pPr>
                  <w:r w:rsidRPr="002460E2">
                    <w:rPr>
                      <w:sz w:val="18"/>
                      <w:szCs w:val="18"/>
                      <w:lang w:val="en-US"/>
                    </w:rPr>
                    <w:t>Energie – comercializarea certificatelor de emisii de dioxid de carbon în cadrul EU ETS</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FE9535" w14:textId="77777777" w:rsidR="00DE1309" w:rsidRPr="002460E2" w:rsidRDefault="00DE1309" w:rsidP="00DE1309">
                  <w:pPr>
                    <w:rPr>
                      <w:sz w:val="18"/>
                      <w:szCs w:val="18"/>
                    </w:rPr>
                  </w:pPr>
                  <w:r w:rsidRPr="002460E2">
                    <w:rPr>
                      <w:sz w:val="18"/>
                      <w:szCs w:val="18"/>
                    </w:rPr>
                    <w:t>40 %</w:t>
                  </w:r>
                </w:p>
              </w:tc>
            </w:tr>
            <w:tr w:rsidR="00DE1309" w:rsidRPr="002460E2" w14:paraId="09801EC0" w14:textId="77777777" w:rsidTr="000E21FB">
              <w:trPr>
                <w:trHeight w:val="680"/>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376DD6" w14:textId="77777777" w:rsidR="00DE1309" w:rsidRPr="002460E2" w:rsidRDefault="00DE1309" w:rsidP="00DE1309">
                  <w:pPr>
                    <w:rPr>
                      <w:sz w:val="18"/>
                      <w:szCs w:val="18"/>
                    </w:rPr>
                  </w:pPr>
                  <w:r w:rsidRPr="002460E2">
                    <w:rPr>
                      <w:sz w:val="18"/>
                      <w:szCs w:val="18"/>
                    </w:rPr>
                    <w:t>5</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7D7B11" w14:textId="77777777" w:rsidR="00DE1309" w:rsidRPr="002460E2" w:rsidRDefault="00DE1309" w:rsidP="00DE1309">
                  <w:pPr>
                    <w:rPr>
                      <w:sz w:val="18"/>
                      <w:szCs w:val="18"/>
                      <w:lang w:val="en-US"/>
                    </w:rPr>
                  </w:pPr>
                  <w:r w:rsidRPr="002460E2">
                    <w:rPr>
                      <w:sz w:val="18"/>
                      <w:szCs w:val="18"/>
                      <w:lang w:val="en-US"/>
                    </w:rPr>
                    <w:t>Energie – comercializarea certificatelor de emisii de dioxid de carbon în afara EU ETS</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E70A3A" w14:textId="77777777" w:rsidR="00DE1309" w:rsidRPr="002460E2" w:rsidRDefault="00DE1309" w:rsidP="00DE1309">
                  <w:pPr>
                    <w:rPr>
                      <w:sz w:val="18"/>
                      <w:szCs w:val="18"/>
                    </w:rPr>
                  </w:pPr>
                  <w:r w:rsidRPr="002460E2">
                    <w:rPr>
                      <w:sz w:val="18"/>
                      <w:szCs w:val="18"/>
                    </w:rPr>
                    <w:t>60 %</w:t>
                  </w:r>
                </w:p>
              </w:tc>
            </w:tr>
            <w:tr w:rsidR="00DE1309" w:rsidRPr="002460E2" w14:paraId="78EBB72D"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2870C3" w14:textId="77777777" w:rsidR="00DE1309" w:rsidRPr="002460E2" w:rsidRDefault="00DE1309" w:rsidP="00DE1309">
                  <w:pPr>
                    <w:rPr>
                      <w:sz w:val="18"/>
                      <w:szCs w:val="18"/>
                    </w:rPr>
                  </w:pPr>
                  <w:r w:rsidRPr="002460E2">
                    <w:rPr>
                      <w:sz w:val="18"/>
                      <w:szCs w:val="18"/>
                    </w:rPr>
                    <w:t>6</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7AA77C" w14:textId="77777777" w:rsidR="00DE1309" w:rsidRPr="002460E2" w:rsidRDefault="00DE1309" w:rsidP="00DE1309">
                  <w:pPr>
                    <w:rPr>
                      <w:sz w:val="18"/>
                      <w:szCs w:val="18"/>
                    </w:rPr>
                  </w:pPr>
                  <w:r w:rsidRPr="002460E2">
                    <w:rPr>
                      <w:sz w:val="18"/>
                      <w:szCs w:val="18"/>
                    </w:rPr>
                    <w:t>Transport</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77EDD4" w14:textId="77777777" w:rsidR="00DE1309" w:rsidRPr="002460E2" w:rsidRDefault="00DE1309" w:rsidP="00DE1309">
                  <w:pPr>
                    <w:rPr>
                      <w:sz w:val="18"/>
                      <w:szCs w:val="18"/>
                    </w:rPr>
                  </w:pPr>
                  <w:r w:rsidRPr="002460E2">
                    <w:rPr>
                      <w:sz w:val="18"/>
                      <w:szCs w:val="18"/>
                    </w:rPr>
                    <w:t>80 %</w:t>
                  </w:r>
                </w:p>
              </w:tc>
            </w:tr>
            <w:tr w:rsidR="00DE1309" w:rsidRPr="002460E2" w14:paraId="533D5D0F"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DF3F66" w14:textId="77777777" w:rsidR="00DE1309" w:rsidRPr="002460E2" w:rsidRDefault="00DE1309" w:rsidP="00DE1309">
                  <w:pPr>
                    <w:rPr>
                      <w:sz w:val="18"/>
                      <w:szCs w:val="18"/>
                    </w:rPr>
                  </w:pPr>
                  <w:r w:rsidRPr="002460E2">
                    <w:rPr>
                      <w:sz w:val="18"/>
                      <w:szCs w:val="18"/>
                    </w:rPr>
                    <w:t>7</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8FDDE1" w14:textId="77777777" w:rsidR="00DE1309" w:rsidRPr="002460E2" w:rsidRDefault="00DE1309" w:rsidP="00DE1309">
                  <w:pPr>
                    <w:rPr>
                      <w:sz w:val="18"/>
                      <w:szCs w:val="18"/>
                    </w:rPr>
                  </w:pPr>
                  <w:r w:rsidRPr="002460E2">
                    <w:rPr>
                      <w:sz w:val="18"/>
                      <w:szCs w:val="18"/>
                    </w:rPr>
                    <w:t>Metale – neprețioase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3FF8ED" w14:textId="77777777" w:rsidR="00DE1309" w:rsidRPr="002460E2" w:rsidRDefault="00DE1309" w:rsidP="00DE1309">
                  <w:pPr>
                    <w:rPr>
                      <w:sz w:val="18"/>
                      <w:szCs w:val="18"/>
                    </w:rPr>
                  </w:pPr>
                  <w:r w:rsidRPr="002460E2">
                    <w:rPr>
                      <w:sz w:val="18"/>
                      <w:szCs w:val="18"/>
                    </w:rPr>
                    <w:t>40 %</w:t>
                  </w:r>
                </w:p>
              </w:tc>
            </w:tr>
            <w:tr w:rsidR="00DE1309" w:rsidRPr="002460E2" w14:paraId="6D60B8FF"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27F4CB" w14:textId="77777777" w:rsidR="00DE1309" w:rsidRPr="002460E2" w:rsidRDefault="00DE1309" w:rsidP="00DE1309">
                  <w:pPr>
                    <w:rPr>
                      <w:sz w:val="18"/>
                      <w:szCs w:val="18"/>
                    </w:rPr>
                  </w:pPr>
                  <w:r w:rsidRPr="002460E2">
                    <w:rPr>
                      <w:sz w:val="18"/>
                      <w:szCs w:val="18"/>
                    </w:rPr>
                    <w:t>8</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E7029D" w14:textId="77777777" w:rsidR="00DE1309" w:rsidRPr="002460E2" w:rsidRDefault="00DE1309" w:rsidP="00DE1309">
                  <w:pPr>
                    <w:rPr>
                      <w:sz w:val="18"/>
                      <w:szCs w:val="18"/>
                    </w:rPr>
                  </w:pPr>
                  <w:r w:rsidRPr="002460E2">
                    <w:rPr>
                      <w:sz w:val="18"/>
                      <w:szCs w:val="18"/>
                    </w:rPr>
                    <w:t>Combustibili gazoși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C060C" w14:textId="77777777" w:rsidR="00DE1309" w:rsidRPr="002460E2" w:rsidRDefault="00DE1309" w:rsidP="00DE1309">
                  <w:pPr>
                    <w:rPr>
                      <w:sz w:val="18"/>
                      <w:szCs w:val="18"/>
                    </w:rPr>
                  </w:pPr>
                  <w:r w:rsidRPr="002460E2">
                    <w:rPr>
                      <w:sz w:val="18"/>
                      <w:szCs w:val="18"/>
                    </w:rPr>
                    <w:t>45 %</w:t>
                  </w:r>
                </w:p>
              </w:tc>
            </w:tr>
            <w:tr w:rsidR="00DE1309" w:rsidRPr="002460E2" w14:paraId="51D71847" w14:textId="77777777" w:rsidTr="000E21FB">
              <w:trPr>
                <w:trHeight w:val="332"/>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A60925" w14:textId="77777777" w:rsidR="00DE1309" w:rsidRPr="002460E2" w:rsidRDefault="00DE1309" w:rsidP="00DE1309">
                  <w:pPr>
                    <w:rPr>
                      <w:sz w:val="18"/>
                      <w:szCs w:val="18"/>
                    </w:rPr>
                  </w:pPr>
                  <w:r w:rsidRPr="002460E2">
                    <w:rPr>
                      <w:sz w:val="18"/>
                      <w:szCs w:val="18"/>
                    </w:rPr>
                    <w:t>9</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B9A9AF" w14:textId="77777777" w:rsidR="00DE1309" w:rsidRPr="002460E2" w:rsidRDefault="00DE1309" w:rsidP="00DE1309">
                  <w:pPr>
                    <w:rPr>
                      <w:sz w:val="18"/>
                      <w:szCs w:val="18"/>
                    </w:rPr>
                  </w:pPr>
                  <w:r w:rsidRPr="002460E2">
                    <w:rPr>
                      <w:sz w:val="18"/>
                      <w:szCs w:val="18"/>
                    </w:rPr>
                    <w:t>Metale prețioase, inclusiv aurul</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AF5EDD" w14:textId="77777777" w:rsidR="00DE1309" w:rsidRPr="002460E2" w:rsidRDefault="00DE1309" w:rsidP="00DE1309">
                  <w:pPr>
                    <w:rPr>
                      <w:sz w:val="18"/>
                      <w:szCs w:val="18"/>
                    </w:rPr>
                  </w:pPr>
                  <w:r w:rsidRPr="002460E2">
                    <w:rPr>
                      <w:sz w:val="18"/>
                      <w:szCs w:val="18"/>
                    </w:rPr>
                    <w:t>20 %</w:t>
                  </w:r>
                </w:p>
              </w:tc>
            </w:tr>
            <w:tr w:rsidR="00DE1309" w:rsidRPr="002460E2" w14:paraId="4D11280A"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CB4D62" w14:textId="77777777" w:rsidR="00DE1309" w:rsidRPr="002460E2" w:rsidRDefault="00DE1309" w:rsidP="00DE1309">
                  <w:pPr>
                    <w:rPr>
                      <w:sz w:val="18"/>
                      <w:szCs w:val="18"/>
                    </w:rPr>
                  </w:pPr>
                  <w:r w:rsidRPr="002460E2">
                    <w:rPr>
                      <w:sz w:val="18"/>
                      <w:szCs w:val="18"/>
                    </w:rPr>
                    <w:t>10</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649086" w14:textId="77777777" w:rsidR="00DE1309" w:rsidRPr="002460E2" w:rsidRDefault="00DE1309" w:rsidP="00DE1309">
                  <w:pPr>
                    <w:rPr>
                      <w:sz w:val="18"/>
                      <w:szCs w:val="18"/>
                    </w:rPr>
                  </w:pPr>
                  <w:r w:rsidRPr="002460E2">
                    <w:rPr>
                      <w:sz w:val="18"/>
                      <w:szCs w:val="18"/>
                    </w:rPr>
                    <w:t>Cereale și oleaginoase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096269" w14:textId="77777777" w:rsidR="00DE1309" w:rsidRPr="002460E2" w:rsidRDefault="00DE1309" w:rsidP="00DE1309">
                  <w:pPr>
                    <w:rPr>
                      <w:sz w:val="18"/>
                      <w:szCs w:val="18"/>
                    </w:rPr>
                  </w:pPr>
                  <w:r w:rsidRPr="002460E2">
                    <w:rPr>
                      <w:sz w:val="18"/>
                      <w:szCs w:val="18"/>
                    </w:rPr>
                    <w:t>35 %</w:t>
                  </w:r>
                </w:p>
              </w:tc>
            </w:tr>
            <w:tr w:rsidR="00DE1309" w:rsidRPr="002460E2" w14:paraId="5491B251"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39F5EE" w14:textId="77777777" w:rsidR="00DE1309" w:rsidRPr="002460E2" w:rsidRDefault="00DE1309" w:rsidP="00DE1309">
                  <w:pPr>
                    <w:rPr>
                      <w:sz w:val="18"/>
                      <w:szCs w:val="18"/>
                    </w:rPr>
                  </w:pPr>
                  <w:r w:rsidRPr="002460E2">
                    <w:rPr>
                      <w:sz w:val="18"/>
                      <w:szCs w:val="18"/>
                    </w:rPr>
                    <w:t>11</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9C6D53" w14:textId="77777777" w:rsidR="00DE1309" w:rsidRPr="002460E2" w:rsidRDefault="00DE1309" w:rsidP="00DE1309">
                  <w:pPr>
                    <w:rPr>
                      <w:sz w:val="18"/>
                      <w:szCs w:val="18"/>
                    </w:rPr>
                  </w:pPr>
                  <w:r w:rsidRPr="002460E2">
                    <w:rPr>
                      <w:sz w:val="18"/>
                      <w:szCs w:val="18"/>
                    </w:rPr>
                    <w:t>Șeptel și produse lactate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1AD607" w14:textId="77777777" w:rsidR="00DE1309" w:rsidRPr="002460E2" w:rsidRDefault="00DE1309" w:rsidP="00DE1309">
                  <w:pPr>
                    <w:rPr>
                      <w:sz w:val="18"/>
                      <w:szCs w:val="18"/>
                    </w:rPr>
                  </w:pPr>
                  <w:r w:rsidRPr="002460E2">
                    <w:rPr>
                      <w:sz w:val="18"/>
                      <w:szCs w:val="18"/>
                    </w:rPr>
                    <w:t>25 %</w:t>
                  </w:r>
                </w:p>
              </w:tc>
            </w:tr>
            <w:tr w:rsidR="00DE1309" w:rsidRPr="002460E2" w14:paraId="027E4B4A" w14:textId="77777777" w:rsidTr="000E21FB">
              <w:trPr>
                <w:trHeight w:val="511"/>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72BD37" w14:textId="77777777" w:rsidR="00DE1309" w:rsidRPr="002460E2" w:rsidRDefault="00DE1309" w:rsidP="00DE1309">
                  <w:pPr>
                    <w:rPr>
                      <w:sz w:val="18"/>
                      <w:szCs w:val="18"/>
                    </w:rPr>
                  </w:pPr>
                  <w:r w:rsidRPr="002460E2">
                    <w:rPr>
                      <w:sz w:val="18"/>
                      <w:szCs w:val="18"/>
                    </w:rPr>
                    <w:t>12</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D1E77B" w14:textId="77777777" w:rsidR="00DE1309" w:rsidRPr="002460E2" w:rsidRDefault="00DE1309" w:rsidP="00DE1309">
                  <w:pPr>
                    <w:rPr>
                      <w:sz w:val="18"/>
                      <w:szCs w:val="18"/>
                      <w:lang w:val="en-US"/>
                    </w:rPr>
                  </w:pPr>
                  <w:r w:rsidRPr="002460E2">
                    <w:rPr>
                      <w:sz w:val="18"/>
                      <w:szCs w:val="18"/>
                      <w:lang w:val="en-US"/>
                    </w:rPr>
                    <w:t>Produse agricole perisabile și alte produse agricole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AA474E" w14:textId="77777777" w:rsidR="00DE1309" w:rsidRPr="002460E2" w:rsidRDefault="00DE1309" w:rsidP="00DE1309">
                  <w:pPr>
                    <w:rPr>
                      <w:sz w:val="18"/>
                      <w:szCs w:val="18"/>
                    </w:rPr>
                  </w:pPr>
                  <w:r w:rsidRPr="002460E2">
                    <w:rPr>
                      <w:sz w:val="18"/>
                      <w:szCs w:val="18"/>
                    </w:rPr>
                    <w:t>35 %</w:t>
                  </w:r>
                </w:p>
              </w:tc>
            </w:tr>
            <w:tr w:rsidR="00DE1309" w:rsidRPr="002460E2" w14:paraId="0A605F07" w14:textId="77777777" w:rsidTr="000E21FB">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1B0217" w14:textId="77777777" w:rsidR="00DE1309" w:rsidRPr="002460E2" w:rsidRDefault="00DE1309" w:rsidP="00DE1309">
                  <w:pPr>
                    <w:rPr>
                      <w:sz w:val="18"/>
                      <w:szCs w:val="18"/>
                    </w:rPr>
                  </w:pPr>
                  <w:r w:rsidRPr="002460E2">
                    <w:rPr>
                      <w:sz w:val="18"/>
                      <w:szCs w:val="18"/>
                    </w:rPr>
                    <w:lastRenderedPageBreak/>
                    <w:t>13</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2C0CA5" w14:textId="77777777" w:rsidR="00DE1309" w:rsidRPr="002460E2" w:rsidRDefault="00DE1309" w:rsidP="00DE1309">
                  <w:pPr>
                    <w:rPr>
                      <w:sz w:val="18"/>
                      <w:szCs w:val="18"/>
                    </w:rPr>
                  </w:pPr>
                  <w:r w:rsidRPr="002460E2">
                    <w:rPr>
                      <w:sz w:val="18"/>
                      <w:szCs w:val="18"/>
                    </w:rPr>
                    <w:t>Alte mărfuri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EDC9B8" w14:textId="77777777" w:rsidR="00DE1309" w:rsidRPr="002460E2" w:rsidRDefault="00DE1309" w:rsidP="00DE1309">
                  <w:pPr>
                    <w:rPr>
                      <w:sz w:val="18"/>
                      <w:szCs w:val="18"/>
                    </w:rPr>
                  </w:pPr>
                  <w:r w:rsidRPr="002460E2">
                    <w:rPr>
                      <w:sz w:val="18"/>
                      <w:szCs w:val="18"/>
                    </w:rPr>
                    <w:t>50 %</w:t>
                  </w:r>
                </w:p>
              </w:tc>
            </w:tr>
            <w:bookmarkEnd w:id="11"/>
          </w:tbl>
          <w:p w14:paraId="68603B9F" w14:textId="77777777" w:rsidR="00DE1309" w:rsidRPr="002460E2" w:rsidRDefault="00DE1309" w:rsidP="00DE1309">
            <w:pPr>
              <w:rPr>
                <w:sz w:val="18"/>
                <w:szCs w:val="18"/>
                <w:lang w:val="en-US"/>
              </w:rPr>
            </w:pPr>
          </w:p>
        </w:tc>
        <w:tc>
          <w:tcPr>
            <w:tcW w:w="3685" w:type="dxa"/>
            <w:shd w:val="clear" w:color="auto" w:fill="auto"/>
          </w:tcPr>
          <w:p w14:paraId="1DDBA487" w14:textId="77777777" w:rsidR="00DE1309" w:rsidRPr="002460E2" w:rsidRDefault="00DE1309" w:rsidP="00DE1309">
            <w:pPr>
              <w:pStyle w:val="ListParagraph"/>
              <w:ind w:left="786"/>
              <w:jc w:val="center"/>
              <w:rPr>
                <w:i/>
                <w:iCs/>
                <w:sz w:val="18"/>
                <w:szCs w:val="18"/>
                <w:lang w:val="ro-MD"/>
              </w:rPr>
            </w:pPr>
            <w:r w:rsidRPr="002460E2">
              <w:rPr>
                <w:i/>
                <w:iCs/>
                <w:sz w:val="18"/>
                <w:szCs w:val="18"/>
                <w:lang w:val="ro-MD"/>
              </w:rPr>
              <w:lastRenderedPageBreak/>
              <w:t>Secțiunea a 21-a</w:t>
            </w:r>
          </w:p>
          <w:p w14:paraId="0E43A271" w14:textId="77777777" w:rsidR="00DE1309" w:rsidRPr="002460E2" w:rsidRDefault="00DE1309" w:rsidP="00DE1309">
            <w:pPr>
              <w:jc w:val="center"/>
              <w:rPr>
                <w:b/>
                <w:bCs/>
                <w:sz w:val="18"/>
                <w:szCs w:val="18"/>
                <w:lang w:val="ro-MD"/>
              </w:rPr>
            </w:pPr>
            <w:r w:rsidRPr="002460E2">
              <w:rPr>
                <w:b/>
                <w:bCs/>
                <w:sz w:val="18"/>
                <w:szCs w:val="18"/>
                <w:lang w:val="ro-MD"/>
              </w:rPr>
              <w:t>Benzile de ponderi de risc pentru riscul de marfă</w:t>
            </w:r>
          </w:p>
          <w:p w14:paraId="53BB82E5" w14:textId="0FDCAA6D" w:rsidR="00DE1309" w:rsidRPr="002460E2" w:rsidRDefault="00DE1309" w:rsidP="00DE1309">
            <w:pPr>
              <w:jc w:val="both"/>
              <w:rPr>
                <w:sz w:val="18"/>
                <w:szCs w:val="18"/>
                <w:lang w:val="ro-MD"/>
              </w:rPr>
            </w:pPr>
            <w:r w:rsidRPr="002460E2">
              <w:rPr>
                <w:sz w:val="18"/>
                <w:szCs w:val="18"/>
                <w:lang w:val="ro-MD"/>
              </w:rPr>
              <w:t>10</w:t>
            </w:r>
            <w:r w:rsidR="00B62813" w:rsidRPr="002460E2">
              <w:rPr>
                <w:sz w:val="18"/>
                <w:szCs w:val="18"/>
                <w:lang w:val="ro-MD"/>
              </w:rPr>
              <w:t>9</w:t>
            </w:r>
            <w:r w:rsidRPr="002460E2">
              <w:rPr>
                <w:sz w:val="18"/>
                <w:szCs w:val="18"/>
                <w:lang w:val="ro-MD"/>
              </w:rPr>
              <w:t>.</w:t>
            </w:r>
            <w:r w:rsidRPr="002460E2">
              <w:rPr>
                <w:b/>
                <w:bCs/>
                <w:sz w:val="18"/>
                <w:szCs w:val="18"/>
                <w:lang w:val="ro-MD"/>
              </w:rPr>
              <w:t> </w:t>
            </w:r>
            <w:r w:rsidRPr="002460E2">
              <w:rPr>
                <w:sz w:val="18"/>
                <w:szCs w:val="18"/>
                <w:lang w:val="ro-MD"/>
              </w:rPr>
              <w:t>Ponderile de risc pentru sensibilitățile delta la factori de risc de preț spot al mărfurilor sunt aceleași pentru toate expunerile la riscul de marfă din fiecare bandă din tabelul 1 și au următoarele valori:</w:t>
            </w:r>
          </w:p>
          <w:p w14:paraId="4058AC43" w14:textId="77777777" w:rsidR="00DE1309" w:rsidRPr="002460E2" w:rsidRDefault="00DE1309" w:rsidP="00DE1309">
            <w:pPr>
              <w:jc w:val="both"/>
              <w:rPr>
                <w:b/>
                <w:bCs/>
                <w:sz w:val="18"/>
                <w:szCs w:val="18"/>
                <w:lang w:val="ro-MD"/>
              </w:rPr>
            </w:pPr>
          </w:p>
          <w:p w14:paraId="5B996DB9" w14:textId="77777777" w:rsidR="00DE1309" w:rsidRPr="002460E2" w:rsidRDefault="00DE1309" w:rsidP="00DE1309">
            <w:pPr>
              <w:jc w:val="right"/>
              <w:rPr>
                <w:i/>
                <w:iCs/>
                <w:sz w:val="18"/>
                <w:szCs w:val="18"/>
                <w:lang w:val="ro-MD"/>
              </w:rPr>
            </w:pPr>
            <w:r w:rsidRPr="002460E2">
              <w:rPr>
                <w:i/>
                <w:iCs/>
                <w:sz w:val="18"/>
                <w:szCs w:val="18"/>
                <w:lang w:val="ro-MD"/>
              </w:rPr>
              <w:t>Tabelul 1</w:t>
            </w:r>
          </w:p>
          <w:p w14:paraId="53EA5209" w14:textId="77777777" w:rsidR="00DE1309" w:rsidRPr="002460E2" w:rsidRDefault="00DE1309" w:rsidP="00DE1309">
            <w:pPr>
              <w:jc w:val="center"/>
              <w:rPr>
                <w:bCs/>
                <w:i/>
                <w:iCs/>
                <w:sz w:val="18"/>
                <w:szCs w:val="18"/>
                <w:lang w:val="ro-MD" w:eastAsia="en-US"/>
              </w:rPr>
            </w:pPr>
          </w:p>
          <w:tbl>
            <w:tblPr>
              <w:tblW w:w="244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7"/>
              <w:gridCol w:w="1145"/>
              <w:gridCol w:w="779"/>
            </w:tblGrid>
            <w:tr w:rsidR="00DE1309" w:rsidRPr="002460E2" w14:paraId="2C9F906E" w14:textId="77777777" w:rsidTr="003245BF">
              <w:trPr>
                <w:trHeight w:val="680"/>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5A0A25" w14:textId="77777777" w:rsidR="00DE1309" w:rsidRPr="002460E2" w:rsidRDefault="00DE1309" w:rsidP="00DE1309">
                  <w:pPr>
                    <w:rPr>
                      <w:b/>
                      <w:bCs/>
                      <w:sz w:val="18"/>
                      <w:szCs w:val="18"/>
                    </w:rPr>
                  </w:pPr>
                  <w:r w:rsidRPr="002460E2">
                    <w:rPr>
                      <w:b/>
                      <w:bCs/>
                      <w:sz w:val="18"/>
                      <w:szCs w:val="18"/>
                    </w:rPr>
                    <w:t>Numărul benzii</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441658" w14:textId="77777777" w:rsidR="00DE1309" w:rsidRPr="002460E2" w:rsidRDefault="00DE1309" w:rsidP="00DE1309">
                  <w:pPr>
                    <w:rPr>
                      <w:b/>
                      <w:bCs/>
                      <w:sz w:val="18"/>
                      <w:szCs w:val="18"/>
                    </w:rPr>
                  </w:pPr>
                  <w:r w:rsidRPr="002460E2">
                    <w:rPr>
                      <w:b/>
                      <w:bCs/>
                      <w:sz w:val="18"/>
                      <w:szCs w:val="18"/>
                    </w:rPr>
                    <w:t>Denumirea benzii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19ECD5" w14:textId="77777777" w:rsidR="00DE1309" w:rsidRPr="002460E2" w:rsidRDefault="00DE1309" w:rsidP="00DE1309">
                  <w:pPr>
                    <w:rPr>
                      <w:b/>
                      <w:bCs/>
                      <w:sz w:val="18"/>
                      <w:szCs w:val="18"/>
                      <w:lang w:val="en-US"/>
                    </w:rPr>
                  </w:pPr>
                  <w:r w:rsidRPr="002460E2">
                    <w:rPr>
                      <w:b/>
                      <w:bCs/>
                      <w:sz w:val="18"/>
                      <w:szCs w:val="18"/>
                      <w:lang w:val="en-US"/>
                    </w:rPr>
                    <w:t>Ponderea de risc pentru prețul spot al mărfurilor</w:t>
                  </w:r>
                </w:p>
              </w:tc>
            </w:tr>
            <w:tr w:rsidR="00DE1309" w:rsidRPr="002460E2" w14:paraId="06ADC93C"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7498EB" w14:textId="77777777" w:rsidR="00DE1309" w:rsidRPr="002460E2" w:rsidRDefault="00DE1309" w:rsidP="00DE1309">
                  <w:pPr>
                    <w:rPr>
                      <w:sz w:val="18"/>
                      <w:szCs w:val="18"/>
                    </w:rPr>
                  </w:pPr>
                  <w:r w:rsidRPr="002460E2">
                    <w:rPr>
                      <w:sz w:val="18"/>
                      <w:szCs w:val="18"/>
                    </w:rPr>
                    <w:t>1</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1B1164" w14:textId="77777777" w:rsidR="00DE1309" w:rsidRPr="002460E2" w:rsidRDefault="00DE1309" w:rsidP="00DE1309">
                  <w:pPr>
                    <w:rPr>
                      <w:sz w:val="18"/>
                      <w:szCs w:val="18"/>
                    </w:rPr>
                  </w:pPr>
                  <w:r w:rsidRPr="002460E2">
                    <w:rPr>
                      <w:sz w:val="18"/>
                      <w:szCs w:val="18"/>
                    </w:rPr>
                    <w:t>Energie – combustibili solizi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76EEA3" w14:textId="77777777" w:rsidR="00DE1309" w:rsidRPr="002460E2" w:rsidRDefault="00DE1309" w:rsidP="00DE1309">
                  <w:pPr>
                    <w:rPr>
                      <w:sz w:val="18"/>
                      <w:szCs w:val="18"/>
                    </w:rPr>
                  </w:pPr>
                  <w:r w:rsidRPr="002460E2">
                    <w:rPr>
                      <w:sz w:val="18"/>
                      <w:szCs w:val="18"/>
                    </w:rPr>
                    <w:t>30 %</w:t>
                  </w:r>
                </w:p>
              </w:tc>
            </w:tr>
            <w:tr w:rsidR="00DE1309" w:rsidRPr="002460E2" w14:paraId="6ABB26B0"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0DAEC7" w14:textId="77777777" w:rsidR="00DE1309" w:rsidRPr="002460E2" w:rsidRDefault="00DE1309" w:rsidP="00DE1309">
                  <w:pPr>
                    <w:rPr>
                      <w:sz w:val="18"/>
                      <w:szCs w:val="18"/>
                    </w:rPr>
                  </w:pPr>
                  <w:r w:rsidRPr="002460E2">
                    <w:rPr>
                      <w:sz w:val="18"/>
                      <w:szCs w:val="18"/>
                    </w:rPr>
                    <w:lastRenderedPageBreak/>
                    <w:t>2</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F6FA09" w14:textId="77777777" w:rsidR="00DE1309" w:rsidRPr="002460E2" w:rsidRDefault="00DE1309" w:rsidP="00DE1309">
                  <w:pPr>
                    <w:rPr>
                      <w:sz w:val="18"/>
                      <w:szCs w:val="18"/>
                    </w:rPr>
                  </w:pPr>
                  <w:r w:rsidRPr="002460E2">
                    <w:rPr>
                      <w:sz w:val="18"/>
                      <w:szCs w:val="18"/>
                    </w:rPr>
                    <w:t>Energie – combustibili lichizi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E2FAC5" w14:textId="77777777" w:rsidR="00DE1309" w:rsidRPr="002460E2" w:rsidRDefault="00DE1309" w:rsidP="00DE1309">
                  <w:pPr>
                    <w:rPr>
                      <w:sz w:val="18"/>
                      <w:szCs w:val="18"/>
                    </w:rPr>
                  </w:pPr>
                  <w:r w:rsidRPr="002460E2">
                    <w:rPr>
                      <w:sz w:val="18"/>
                      <w:szCs w:val="18"/>
                    </w:rPr>
                    <w:t>35 %</w:t>
                  </w:r>
                </w:p>
              </w:tc>
            </w:tr>
            <w:tr w:rsidR="00DE1309" w:rsidRPr="002460E2" w14:paraId="01302ED8"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C826F3" w14:textId="77777777" w:rsidR="00DE1309" w:rsidRPr="002460E2" w:rsidRDefault="00DE1309" w:rsidP="00DE1309">
                  <w:pPr>
                    <w:rPr>
                      <w:sz w:val="18"/>
                      <w:szCs w:val="18"/>
                    </w:rPr>
                  </w:pPr>
                  <w:r w:rsidRPr="002460E2">
                    <w:rPr>
                      <w:sz w:val="18"/>
                      <w:szCs w:val="18"/>
                    </w:rPr>
                    <w:t>3</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8AF92B" w14:textId="77777777" w:rsidR="00DE1309" w:rsidRPr="002460E2" w:rsidRDefault="00DE1309" w:rsidP="00DE1309">
                  <w:pPr>
                    <w:rPr>
                      <w:sz w:val="18"/>
                      <w:szCs w:val="18"/>
                    </w:rPr>
                  </w:pPr>
                  <w:r w:rsidRPr="002460E2">
                    <w:rPr>
                      <w:sz w:val="18"/>
                      <w:szCs w:val="18"/>
                    </w:rPr>
                    <w:t>Energie – energie electrică</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85A5A2" w14:textId="77777777" w:rsidR="00DE1309" w:rsidRPr="002460E2" w:rsidRDefault="00DE1309" w:rsidP="00DE1309">
                  <w:pPr>
                    <w:rPr>
                      <w:sz w:val="18"/>
                      <w:szCs w:val="18"/>
                    </w:rPr>
                  </w:pPr>
                  <w:r w:rsidRPr="002460E2">
                    <w:rPr>
                      <w:sz w:val="18"/>
                      <w:szCs w:val="18"/>
                    </w:rPr>
                    <w:t>60 %</w:t>
                  </w:r>
                </w:p>
              </w:tc>
            </w:tr>
            <w:tr w:rsidR="00DE1309" w:rsidRPr="002460E2" w14:paraId="2A717601" w14:textId="77777777" w:rsidTr="003245BF">
              <w:trPr>
                <w:trHeight w:val="66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81B2AB" w14:textId="77777777" w:rsidR="00DE1309" w:rsidRPr="002460E2" w:rsidRDefault="00DE1309" w:rsidP="00DE1309">
                  <w:pPr>
                    <w:rPr>
                      <w:sz w:val="18"/>
                      <w:szCs w:val="18"/>
                    </w:rPr>
                  </w:pPr>
                  <w:r w:rsidRPr="002460E2">
                    <w:rPr>
                      <w:sz w:val="18"/>
                      <w:szCs w:val="18"/>
                    </w:rPr>
                    <w:t>4</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B00550" w14:textId="77777777" w:rsidR="00DE1309" w:rsidRPr="002460E2" w:rsidRDefault="00DE1309" w:rsidP="00DE1309">
                  <w:pPr>
                    <w:rPr>
                      <w:sz w:val="18"/>
                      <w:szCs w:val="18"/>
                      <w:lang w:val="en-US"/>
                    </w:rPr>
                  </w:pPr>
                  <w:r w:rsidRPr="002460E2">
                    <w:rPr>
                      <w:sz w:val="18"/>
                      <w:szCs w:val="18"/>
                      <w:lang w:val="en-US"/>
                    </w:rPr>
                    <w:t>Energie – comercializarea certificatelor de emisii de dioxid de carbon în cadrul EU ETS</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C8C66F" w14:textId="77777777" w:rsidR="00DE1309" w:rsidRPr="002460E2" w:rsidRDefault="00DE1309" w:rsidP="00DE1309">
                  <w:pPr>
                    <w:rPr>
                      <w:sz w:val="18"/>
                      <w:szCs w:val="18"/>
                    </w:rPr>
                  </w:pPr>
                  <w:r w:rsidRPr="002460E2">
                    <w:rPr>
                      <w:sz w:val="18"/>
                      <w:szCs w:val="18"/>
                    </w:rPr>
                    <w:t>40 %</w:t>
                  </w:r>
                </w:p>
              </w:tc>
            </w:tr>
            <w:tr w:rsidR="00DE1309" w:rsidRPr="002460E2" w14:paraId="4A27CD70" w14:textId="77777777" w:rsidTr="003245BF">
              <w:trPr>
                <w:trHeight w:val="680"/>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C8CA7F" w14:textId="77777777" w:rsidR="00DE1309" w:rsidRPr="002460E2" w:rsidRDefault="00DE1309" w:rsidP="00DE1309">
                  <w:pPr>
                    <w:rPr>
                      <w:sz w:val="18"/>
                      <w:szCs w:val="18"/>
                    </w:rPr>
                  </w:pPr>
                  <w:r w:rsidRPr="002460E2">
                    <w:rPr>
                      <w:sz w:val="18"/>
                      <w:szCs w:val="18"/>
                    </w:rPr>
                    <w:t>5</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0D4492" w14:textId="77777777" w:rsidR="00DE1309" w:rsidRPr="002460E2" w:rsidRDefault="00DE1309" w:rsidP="00DE1309">
                  <w:pPr>
                    <w:rPr>
                      <w:sz w:val="18"/>
                      <w:szCs w:val="18"/>
                      <w:lang w:val="en-US"/>
                    </w:rPr>
                  </w:pPr>
                  <w:r w:rsidRPr="002460E2">
                    <w:rPr>
                      <w:sz w:val="18"/>
                      <w:szCs w:val="18"/>
                      <w:lang w:val="en-US"/>
                    </w:rPr>
                    <w:t>Energie – comercializarea certificatelor de emisii de dioxid de carbon în afara EU ETS</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0C9E75" w14:textId="77777777" w:rsidR="00DE1309" w:rsidRPr="002460E2" w:rsidRDefault="00DE1309" w:rsidP="00DE1309">
                  <w:pPr>
                    <w:rPr>
                      <w:sz w:val="18"/>
                      <w:szCs w:val="18"/>
                    </w:rPr>
                  </w:pPr>
                  <w:r w:rsidRPr="002460E2">
                    <w:rPr>
                      <w:sz w:val="18"/>
                      <w:szCs w:val="18"/>
                    </w:rPr>
                    <w:t>60 %</w:t>
                  </w:r>
                </w:p>
              </w:tc>
            </w:tr>
            <w:tr w:rsidR="00DE1309" w:rsidRPr="002460E2" w14:paraId="66265B80"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0120D8" w14:textId="77777777" w:rsidR="00DE1309" w:rsidRPr="002460E2" w:rsidRDefault="00DE1309" w:rsidP="00DE1309">
                  <w:pPr>
                    <w:rPr>
                      <w:sz w:val="18"/>
                      <w:szCs w:val="18"/>
                    </w:rPr>
                  </w:pPr>
                  <w:r w:rsidRPr="002460E2">
                    <w:rPr>
                      <w:sz w:val="18"/>
                      <w:szCs w:val="18"/>
                    </w:rPr>
                    <w:t>6</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55F288" w14:textId="77777777" w:rsidR="00DE1309" w:rsidRPr="002460E2" w:rsidRDefault="00DE1309" w:rsidP="00DE1309">
                  <w:pPr>
                    <w:rPr>
                      <w:sz w:val="18"/>
                      <w:szCs w:val="18"/>
                    </w:rPr>
                  </w:pPr>
                  <w:r w:rsidRPr="002460E2">
                    <w:rPr>
                      <w:sz w:val="18"/>
                      <w:szCs w:val="18"/>
                    </w:rPr>
                    <w:t>Transport</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46332E" w14:textId="77777777" w:rsidR="00DE1309" w:rsidRPr="002460E2" w:rsidRDefault="00DE1309" w:rsidP="00DE1309">
                  <w:pPr>
                    <w:rPr>
                      <w:sz w:val="18"/>
                      <w:szCs w:val="18"/>
                    </w:rPr>
                  </w:pPr>
                  <w:r w:rsidRPr="002460E2">
                    <w:rPr>
                      <w:sz w:val="18"/>
                      <w:szCs w:val="18"/>
                    </w:rPr>
                    <w:t>80 %</w:t>
                  </w:r>
                </w:p>
              </w:tc>
            </w:tr>
            <w:tr w:rsidR="00DE1309" w:rsidRPr="002460E2" w14:paraId="31C550EE"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913E00" w14:textId="77777777" w:rsidR="00DE1309" w:rsidRPr="002460E2" w:rsidRDefault="00DE1309" w:rsidP="00DE1309">
                  <w:pPr>
                    <w:rPr>
                      <w:sz w:val="18"/>
                      <w:szCs w:val="18"/>
                    </w:rPr>
                  </w:pPr>
                  <w:r w:rsidRPr="002460E2">
                    <w:rPr>
                      <w:sz w:val="18"/>
                      <w:szCs w:val="18"/>
                    </w:rPr>
                    <w:t>7</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04738C" w14:textId="77777777" w:rsidR="00DE1309" w:rsidRPr="002460E2" w:rsidRDefault="00DE1309" w:rsidP="00DE1309">
                  <w:pPr>
                    <w:rPr>
                      <w:sz w:val="18"/>
                      <w:szCs w:val="18"/>
                    </w:rPr>
                  </w:pPr>
                  <w:r w:rsidRPr="002460E2">
                    <w:rPr>
                      <w:sz w:val="18"/>
                      <w:szCs w:val="18"/>
                    </w:rPr>
                    <w:t>Metale – neprețioase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D18AC3" w14:textId="77777777" w:rsidR="00DE1309" w:rsidRPr="002460E2" w:rsidRDefault="00DE1309" w:rsidP="00DE1309">
                  <w:pPr>
                    <w:rPr>
                      <w:sz w:val="18"/>
                      <w:szCs w:val="18"/>
                    </w:rPr>
                  </w:pPr>
                  <w:r w:rsidRPr="002460E2">
                    <w:rPr>
                      <w:sz w:val="18"/>
                      <w:szCs w:val="18"/>
                    </w:rPr>
                    <w:t>40 %</w:t>
                  </w:r>
                </w:p>
              </w:tc>
            </w:tr>
            <w:tr w:rsidR="00DE1309" w:rsidRPr="002460E2" w14:paraId="1A293C9C"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BE7820" w14:textId="77777777" w:rsidR="00DE1309" w:rsidRPr="002460E2" w:rsidRDefault="00DE1309" w:rsidP="00DE1309">
                  <w:pPr>
                    <w:rPr>
                      <w:sz w:val="18"/>
                      <w:szCs w:val="18"/>
                    </w:rPr>
                  </w:pPr>
                  <w:r w:rsidRPr="002460E2">
                    <w:rPr>
                      <w:sz w:val="18"/>
                      <w:szCs w:val="18"/>
                    </w:rPr>
                    <w:t>8</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135046" w14:textId="77777777" w:rsidR="00DE1309" w:rsidRPr="002460E2" w:rsidRDefault="00DE1309" w:rsidP="00DE1309">
                  <w:pPr>
                    <w:rPr>
                      <w:sz w:val="18"/>
                      <w:szCs w:val="18"/>
                    </w:rPr>
                  </w:pPr>
                  <w:r w:rsidRPr="002460E2">
                    <w:rPr>
                      <w:sz w:val="18"/>
                      <w:szCs w:val="18"/>
                    </w:rPr>
                    <w:t>Combustibili gazoși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FB4F97" w14:textId="77777777" w:rsidR="00DE1309" w:rsidRPr="002460E2" w:rsidRDefault="00DE1309" w:rsidP="00DE1309">
                  <w:pPr>
                    <w:rPr>
                      <w:sz w:val="18"/>
                      <w:szCs w:val="18"/>
                    </w:rPr>
                  </w:pPr>
                  <w:r w:rsidRPr="002460E2">
                    <w:rPr>
                      <w:sz w:val="18"/>
                      <w:szCs w:val="18"/>
                    </w:rPr>
                    <w:t>45 %</w:t>
                  </w:r>
                </w:p>
              </w:tc>
            </w:tr>
            <w:tr w:rsidR="00DE1309" w:rsidRPr="002460E2" w14:paraId="739CA572" w14:textId="77777777" w:rsidTr="003245BF">
              <w:trPr>
                <w:trHeight w:val="332"/>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06DD9A" w14:textId="77777777" w:rsidR="00DE1309" w:rsidRPr="002460E2" w:rsidRDefault="00DE1309" w:rsidP="00DE1309">
                  <w:pPr>
                    <w:rPr>
                      <w:sz w:val="18"/>
                      <w:szCs w:val="18"/>
                    </w:rPr>
                  </w:pPr>
                  <w:r w:rsidRPr="002460E2">
                    <w:rPr>
                      <w:sz w:val="18"/>
                      <w:szCs w:val="18"/>
                    </w:rPr>
                    <w:t>9</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7027E0" w14:textId="77777777" w:rsidR="00DE1309" w:rsidRPr="002460E2" w:rsidRDefault="00DE1309" w:rsidP="00DE1309">
                  <w:pPr>
                    <w:rPr>
                      <w:sz w:val="18"/>
                      <w:szCs w:val="18"/>
                    </w:rPr>
                  </w:pPr>
                  <w:r w:rsidRPr="002460E2">
                    <w:rPr>
                      <w:sz w:val="18"/>
                      <w:szCs w:val="18"/>
                    </w:rPr>
                    <w:t>Metale prețioase, inclusiv aurul</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B6886E" w14:textId="77777777" w:rsidR="00DE1309" w:rsidRPr="002460E2" w:rsidRDefault="00DE1309" w:rsidP="00DE1309">
                  <w:pPr>
                    <w:rPr>
                      <w:sz w:val="18"/>
                      <w:szCs w:val="18"/>
                    </w:rPr>
                  </w:pPr>
                  <w:r w:rsidRPr="002460E2">
                    <w:rPr>
                      <w:sz w:val="18"/>
                      <w:szCs w:val="18"/>
                    </w:rPr>
                    <w:t>20 %</w:t>
                  </w:r>
                </w:p>
              </w:tc>
            </w:tr>
            <w:tr w:rsidR="00DE1309" w:rsidRPr="002460E2" w14:paraId="6FDDBD07"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83FD2D" w14:textId="77777777" w:rsidR="00DE1309" w:rsidRPr="002460E2" w:rsidRDefault="00DE1309" w:rsidP="00DE1309">
                  <w:pPr>
                    <w:rPr>
                      <w:sz w:val="18"/>
                      <w:szCs w:val="18"/>
                    </w:rPr>
                  </w:pPr>
                  <w:r w:rsidRPr="002460E2">
                    <w:rPr>
                      <w:sz w:val="18"/>
                      <w:szCs w:val="18"/>
                    </w:rPr>
                    <w:t>10</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947D70" w14:textId="77777777" w:rsidR="00DE1309" w:rsidRPr="002460E2" w:rsidRDefault="00DE1309" w:rsidP="00DE1309">
                  <w:pPr>
                    <w:rPr>
                      <w:sz w:val="18"/>
                      <w:szCs w:val="18"/>
                    </w:rPr>
                  </w:pPr>
                  <w:r w:rsidRPr="002460E2">
                    <w:rPr>
                      <w:sz w:val="18"/>
                      <w:szCs w:val="18"/>
                    </w:rPr>
                    <w:t>Cereale și oleaginoase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9D2693" w14:textId="77777777" w:rsidR="00DE1309" w:rsidRPr="002460E2" w:rsidRDefault="00DE1309" w:rsidP="00DE1309">
                  <w:pPr>
                    <w:rPr>
                      <w:sz w:val="18"/>
                      <w:szCs w:val="18"/>
                    </w:rPr>
                  </w:pPr>
                  <w:r w:rsidRPr="002460E2">
                    <w:rPr>
                      <w:sz w:val="18"/>
                      <w:szCs w:val="18"/>
                    </w:rPr>
                    <w:t>35 %</w:t>
                  </w:r>
                </w:p>
              </w:tc>
            </w:tr>
            <w:tr w:rsidR="00DE1309" w:rsidRPr="002460E2" w14:paraId="1CB9F1FE"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A99767" w14:textId="77777777" w:rsidR="00DE1309" w:rsidRPr="002460E2" w:rsidRDefault="00DE1309" w:rsidP="00DE1309">
                  <w:pPr>
                    <w:rPr>
                      <w:sz w:val="18"/>
                      <w:szCs w:val="18"/>
                    </w:rPr>
                  </w:pPr>
                  <w:r w:rsidRPr="002460E2">
                    <w:rPr>
                      <w:sz w:val="18"/>
                      <w:szCs w:val="18"/>
                    </w:rPr>
                    <w:t>11</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220697" w14:textId="77777777" w:rsidR="00DE1309" w:rsidRPr="002460E2" w:rsidRDefault="00DE1309" w:rsidP="00DE1309">
                  <w:pPr>
                    <w:rPr>
                      <w:sz w:val="18"/>
                      <w:szCs w:val="18"/>
                    </w:rPr>
                  </w:pPr>
                  <w:r w:rsidRPr="002460E2">
                    <w:rPr>
                      <w:sz w:val="18"/>
                      <w:szCs w:val="18"/>
                    </w:rPr>
                    <w:t>Șeptel și produse lactate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637CDC" w14:textId="77777777" w:rsidR="00DE1309" w:rsidRPr="002460E2" w:rsidRDefault="00DE1309" w:rsidP="00DE1309">
                  <w:pPr>
                    <w:rPr>
                      <w:sz w:val="18"/>
                      <w:szCs w:val="18"/>
                    </w:rPr>
                  </w:pPr>
                  <w:r w:rsidRPr="002460E2">
                    <w:rPr>
                      <w:sz w:val="18"/>
                      <w:szCs w:val="18"/>
                    </w:rPr>
                    <w:t>25 %</w:t>
                  </w:r>
                </w:p>
              </w:tc>
            </w:tr>
            <w:tr w:rsidR="00DE1309" w:rsidRPr="002460E2" w14:paraId="3F1B45BB" w14:textId="77777777" w:rsidTr="003245BF">
              <w:trPr>
                <w:trHeight w:val="511"/>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8570AC" w14:textId="77777777" w:rsidR="00DE1309" w:rsidRPr="002460E2" w:rsidRDefault="00DE1309" w:rsidP="00DE1309">
                  <w:pPr>
                    <w:rPr>
                      <w:sz w:val="18"/>
                      <w:szCs w:val="18"/>
                    </w:rPr>
                  </w:pPr>
                  <w:r w:rsidRPr="002460E2">
                    <w:rPr>
                      <w:sz w:val="18"/>
                      <w:szCs w:val="18"/>
                    </w:rPr>
                    <w:lastRenderedPageBreak/>
                    <w:t>12</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403055" w14:textId="77777777" w:rsidR="00DE1309" w:rsidRPr="002460E2" w:rsidRDefault="00DE1309" w:rsidP="00DE1309">
                  <w:pPr>
                    <w:rPr>
                      <w:sz w:val="18"/>
                      <w:szCs w:val="18"/>
                      <w:lang w:val="en-US"/>
                    </w:rPr>
                  </w:pPr>
                  <w:r w:rsidRPr="002460E2">
                    <w:rPr>
                      <w:sz w:val="18"/>
                      <w:szCs w:val="18"/>
                      <w:lang w:val="en-US"/>
                    </w:rPr>
                    <w:t>Produse agricole perisabile și alte produse agricole</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8AE90B" w14:textId="77777777" w:rsidR="00DE1309" w:rsidRPr="002460E2" w:rsidRDefault="00DE1309" w:rsidP="00DE1309">
                  <w:pPr>
                    <w:rPr>
                      <w:sz w:val="18"/>
                      <w:szCs w:val="18"/>
                    </w:rPr>
                  </w:pPr>
                  <w:r w:rsidRPr="002460E2">
                    <w:rPr>
                      <w:sz w:val="18"/>
                      <w:szCs w:val="18"/>
                    </w:rPr>
                    <w:t>35 %</w:t>
                  </w:r>
                </w:p>
              </w:tc>
            </w:tr>
            <w:tr w:rsidR="00DE1309" w:rsidRPr="002460E2" w14:paraId="0B796ECF" w14:textId="77777777" w:rsidTr="003245BF">
              <w:trPr>
                <w:trHeight w:val="345"/>
                <w:jc w:val="center"/>
              </w:trPr>
              <w:tc>
                <w:tcPr>
                  <w:tcW w:w="5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4EDECB" w14:textId="77777777" w:rsidR="00DE1309" w:rsidRPr="002460E2" w:rsidRDefault="00DE1309" w:rsidP="00DE1309">
                  <w:pPr>
                    <w:rPr>
                      <w:sz w:val="18"/>
                      <w:szCs w:val="18"/>
                    </w:rPr>
                  </w:pPr>
                  <w:r w:rsidRPr="002460E2">
                    <w:rPr>
                      <w:sz w:val="18"/>
                      <w:szCs w:val="18"/>
                    </w:rPr>
                    <w:t>13</w:t>
                  </w:r>
                </w:p>
              </w:tc>
              <w:tc>
                <w:tcPr>
                  <w:tcW w:w="11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C5CCA4" w14:textId="77777777" w:rsidR="00DE1309" w:rsidRPr="002460E2" w:rsidRDefault="00DE1309" w:rsidP="00DE1309">
                  <w:pPr>
                    <w:rPr>
                      <w:sz w:val="18"/>
                      <w:szCs w:val="18"/>
                    </w:rPr>
                  </w:pPr>
                  <w:r w:rsidRPr="002460E2">
                    <w:rPr>
                      <w:sz w:val="18"/>
                      <w:szCs w:val="18"/>
                    </w:rPr>
                    <w:t>Alte mărfuri</w:t>
                  </w:r>
                </w:p>
              </w:tc>
              <w:tc>
                <w:tcPr>
                  <w:tcW w:w="7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488094" w14:textId="77777777" w:rsidR="00DE1309" w:rsidRPr="002460E2" w:rsidRDefault="00DE1309" w:rsidP="00DE1309">
                  <w:pPr>
                    <w:rPr>
                      <w:sz w:val="18"/>
                      <w:szCs w:val="18"/>
                    </w:rPr>
                  </w:pPr>
                  <w:r w:rsidRPr="002460E2">
                    <w:rPr>
                      <w:sz w:val="18"/>
                      <w:szCs w:val="18"/>
                    </w:rPr>
                    <w:t>50 %</w:t>
                  </w:r>
                </w:p>
              </w:tc>
            </w:tr>
          </w:tbl>
          <w:p w14:paraId="4EDC2C2F" w14:textId="77777777" w:rsidR="00DE1309" w:rsidRPr="002460E2" w:rsidRDefault="00DE1309" w:rsidP="00DE1309">
            <w:pPr>
              <w:jc w:val="center"/>
              <w:rPr>
                <w:bCs/>
                <w:i/>
                <w:iCs/>
                <w:sz w:val="18"/>
                <w:szCs w:val="18"/>
                <w:lang w:val="ro-MD" w:eastAsia="en-US"/>
              </w:rPr>
            </w:pPr>
          </w:p>
        </w:tc>
        <w:tc>
          <w:tcPr>
            <w:tcW w:w="1229" w:type="dxa"/>
          </w:tcPr>
          <w:p w14:paraId="6F97F6B7" w14:textId="4FC722D4"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33E0BD0C" w14:textId="77777777" w:rsidR="00DE1309" w:rsidRPr="002460E2" w:rsidRDefault="00DE1309" w:rsidP="00DE1309">
            <w:pPr>
              <w:jc w:val="both"/>
              <w:rPr>
                <w:sz w:val="18"/>
                <w:szCs w:val="18"/>
                <w:lang w:val="ro-MD"/>
              </w:rPr>
            </w:pPr>
          </w:p>
        </w:tc>
      </w:tr>
      <w:tr w:rsidR="00DE1309" w:rsidRPr="002460E2" w14:paraId="6FA62799" w14:textId="77777777" w:rsidTr="003F5B3C">
        <w:trPr>
          <w:trHeight w:val="918"/>
        </w:trPr>
        <w:tc>
          <w:tcPr>
            <w:tcW w:w="4253" w:type="dxa"/>
          </w:tcPr>
          <w:p w14:paraId="5AA9A18F" w14:textId="57597B9A" w:rsidR="00DE1309" w:rsidRPr="002460E2" w:rsidRDefault="00DE1309" w:rsidP="00DE1309">
            <w:pPr>
              <w:rPr>
                <w:sz w:val="18"/>
                <w:szCs w:val="18"/>
                <w:lang w:val="en-US"/>
              </w:rPr>
            </w:pPr>
            <w:r w:rsidRPr="002460E2">
              <w:rPr>
                <w:sz w:val="18"/>
                <w:szCs w:val="18"/>
                <w:lang w:val="en-US"/>
              </w:rPr>
              <w:lastRenderedPageBreak/>
              <w:t>(2)   Ponderile de risc pentru riscul de marfă vega se stabilesc la 100 %.</w:t>
            </w:r>
          </w:p>
        </w:tc>
        <w:tc>
          <w:tcPr>
            <w:tcW w:w="3685" w:type="dxa"/>
            <w:shd w:val="clear" w:color="auto" w:fill="auto"/>
          </w:tcPr>
          <w:p w14:paraId="38A7C64A" w14:textId="7A1F6DC4" w:rsidR="00DE1309" w:rsidRPr="002460E2" w:rsidRDefault="00DE1309" w:rsidP="00DE1309">
            <w:pPr>
              <w:jc w:val="both"/>
              <w:rPr>
                <w:sz w:val="18"/>
                <w:szCs w:val="18"/>
                <w:lang w:val="ro-MD"/>
              </w:rPr>
            </w:pPr>
            <w:r w:rsidRPr="002460E2">
              <w:rPr>
                <w:sz w:val="18"/>
                <w:szCs w:val="18"/>
                <w:lang w:val="ro-MD"/>
              </w:rPr>
              <w:t>1</w:t>
            </w:r>
            <w:r w:rsidR="00B62813" w:rsidRPr="002460E2">
              <w:rPr>
                <w:sz w:val="18"/>
                <w:szCs w:val="18"/>
                <w:lang w:val="ro-MD"/>
              </w:rPr>
              <w:t>1</w:t>
            </w:r>
            <w:r w:rsidRPr="002460E2">
              <w:rPr>
                <w:sz w:val="18"/>
                <w:szCs w:val="18"/>
                <w:lang w:val="ro-MD"/>
              </w:rPr>
              <w:t>0.   Ponderile de risc pentru riscul de marfă vega se stabilesc la 100 %.</w:t>
            </w:r>
          </w:p>
        </w:tc>
        <w:tc>
          <w:tcPr>
            <w:tcW w:w="1229" w:type="dxa"/>
          </w:tcPr>
          <w:p w14:paraId="176EC879" w14:textId="2302306D"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100D774B" w14:textId="77777777" w:rsidR="00DE1309" w:rsidRPr="002460E2" w:rsidRDefault="00DE1309" w:rsidP="00DE1309">
            <w:pPr>
              <w:jc w:val="both"/>
              <w:rPr>
                <w:sz w:val="18"/>
                <w:szCs w:val="18"/>
                <w:lang w:val="ro-MD"/>
              </w:rPr>
            </w:pPr>
          </w:p>
        </w:tc>
      </w:tr>
      <w:tr w:rsidR="00DE1309" w:rsidRPr="002460E2" w14:paraId="61B111E4" w14:textId="77777777" w:rsidTr="003F5B3C">
        <w:trPr>
          <w:trHeight w:val="918"/>
        </w:trPr>
        <w:tc>
          <w:tcPr>
            <w:tcW w:w="4253" w:type="dxa"/>
          </w:tcPr>
          <w:p w14:paraId="1C6DE660" w14:textId="0F1FED92" w:rsidR="00DE1309" w:rsidRPr="002460E2" w:rsidRDefault="00DE1309" w:rsidP="00DE1309">
            <w:pPr>
              <w:rPr>
                <w:i/>
                <w:iCs/>
                <w:sz w:val="18"/>
                <w:szCs w:val="18"/>
                <w:lang w:val="en-US"/>
              </w:rPr>
            </w:pPr>
            <w:r w:rsidRPr="002460E2">
              <w:rPr>
                <w:i/>
                <w:iCs/>
                <w:sz w:val="18"/>
                <w:szCs w:val="18"/>
                <w:lang w:val="en-US"/>
              </w:rPr>
              <w:t>Articolul 3</w:t>
            </w:r>
            <w:r w:rsidR="004256FB" w:rsidRPr="002460E2">
              <w:rPr>
                <w:i/>
                <w:iCs/>
                <w:sz w:val="18"/>
                <w:szCs w:val="18"/>
                <w:lang w:val="en-US"/>
              </w:rPr>
              <w:t>83</w:t>
            </w:r>
            <w:r w:rsidRPr="002460E2">
              <w:rPr>
                <w:i/>
                <w:iCs/>
                <w:sz w:val="18"/>
                <w:szCs w:val="18"/>
                <w:lang w:val="en-US"/>
              </w:rPr>
              <w:t>z</w:t>
            </w:r>
          </w:p>
          <w:p w14:paraId="3F2BB775" w14:textId="77777777" w:rsidR="00DE1309" w:rsidRPr="002460E2" w:rsidRDefault="00DE1309" w:rsidP="00DE1309">
            <w:pPr>
              <w:rPr>
                <w:b/>
                <w:bCs/>
                <w:sz w:val="18"/>
                <w:szCs w:val="18"/>
                <w:lang w:val="en-US"/>
              </w:rPr>
            </w:pPr>
            <w:r w:rsidRPr="002460E2">
              <w:rPr>
                <w:b/>
                <w:bCs/>
                <w:sz w:val="18"/>
                <w:szCs w:val="18"/>
                <w:lang w:val="en-US"/>
              </w:rPr>
              <w:t>Corelațiile dintre benzi pentru riscul de marfă</w:t>
            </w:r>
          </w:p>
          <w:p w14:paraId="60B883A8" w14:textId="3B961402" w:rsidR="00DE1309" w:rsidRPr="002460E2" w:rsidRDefault="00DE1309" w:rsidP="00DE1309">
            <w:pPr>
              <w:rPr>
                <w:sz w:val="18"/>
                <w:szCs w:val="18"/>
                <w:lang w:val="en-US"/>
              </w:rPr>
            </w:pPr>
            <w:r w:rsidRPr="002460E2">
              <w:rPr>
                <w:sz w:val="18"/>
                <w:szCs w:val="18"/>
                <w:lang w:val="en-US"/>
              </w:rPr>
              <w:t>(1) Parametrul de corelație dintre benzi pentru riscul de marfă delta se stabilește la:</w:t>
            </w:r>
          </w:p>
          <w:p w14:paraId="048C3946" w14:textId="078A6699" w:rsidR="00DE1309" w:rsidRPr="002460E2" w:rsidRDefault="00DE1309" w:rsidP="00DE1309">
            <w:pPr>
              <w:rPr>
                <w:sz w:val="18"/>
                <w:szCs w:val="18"/>
                <w:lang w:val="en-US"/>
              </w:rPr>
            </w:pPr>
            <w:r w:rsidRPr="002460E2">
              <w:rPr>
                <w:sz w:val="18"/>
                <w:szCs w:val="18"/>
                <w:lang w:val="en-US"/>
              </w:rPr>
              <w:t>(a) 20 % dacă cele două benzi se încadrează în benzile 1-12 de la articolul 383x alineatul (1) tabelul 1;</w:t>
            </w:r>
          </w:p>
          <w:p w14:paraId="010C9C6D" w14:textId="638EB533" w:rsidR="00DE1309" w:rsidRPr="002460E2" w:rsidRDefault="00DE1309" w:rsidP="00DE1309">
            <w:pPr>
              <w:rPr>
                <w:sz w:val="18"/>
                <w:szCs w:val="18"/>
                <w:lang w:val="en-US"/>
              </w:rPr>
            </w:pPr>
            <w:r w:rsidRPr="002460E2">
              <w:rPr>
                <w:sz w:val="18"/>
                <w:szCs w:val="18"/>
                <w:lang w:val="en-US"/>
              </w:rPr>
              <w:t>(b) 0 % dacă una dintre cele două benzi este banda 13 de la articolul 383x alineatul (1) tabelul 1.</w:t>
            </w:r>
          </w:p>
          <w:p w14:paraId="5D2759B1" w14:textId="77777777" w:rsidR="00DE1309" w:rsidRPr="002460E2" w:rsidRDefault="00DE1309" w:rsidP="00DE1309">
            <w:pPr>
              <w:rPr>
                <w:sz w:val="18"/>
                <w:szCs w:val="18"/>
                <w:lang w:val="en-US"/>
              </w:rPr>
            </w:pPr>
          </w:p>
        </w:tc>
        <w:tc>
          <w:tcPr>
            <w:tcW w:w="3685" w:type="dxa"/>
            <w:shd w:val="clear" w:color="auto" w:fill="auto"/>
          </w:tcPr>
          <w:p w14:paraId="3403D046" w14:textId="77777777" w:rsidR="00DE1309" w:rsidRPr="002460E2" w:rsidRDefault="00DE1309" w:rsidP="00DE1309">
            <w:pPr>
              <w:ind w:left="786"/>
              <w:contextualSpacing/>
              <w:jc w:val="center"/>
              <w:rPr>
                <w:i/>
                <w:iCs/>
                <w:sz w:val="18"/>
                <w:szCs w:val="18"/>
                <w:lang w:val="ro-MD" w:eastAsia="en-US"/>
              </w:rPr>
            </w:pPr>
            <w:r w:rsidRPr="002460E2">
              <w:rPr>
                <w:i/>
                <w:iCs/>
                <w:sz w:val="18"/>
                <w:szCs w:val="18"/>
                <w:lang w:val="ro-MD" w:eastAsia="en-US"/>
              </w:rPr>
              <w:t>Secțiunea a 22-a</w:t>
            </w:r>
          </w:p>
          <w:p w14:paraId="3F01CB26" w14:textId="3E601A7B" w:rsidR="00DE1309" w:rsidRPr="002460E2" w:rsidRDefault="00DE1309" w:rsidP="00B62813">
            <w:pPr>
              <w:tabs>
                <w:tab w:val="left" w:pos="0"/>
              </w:tabs>
              <w:spacing w:line="259" w:lineRule="auto"/>
              <w:rPr>
                <w:rFonts w:eastAsiaTheme="minorHAnsi"/>
                <w:sz w:val="18"/>
                <w:szCs w:val="18"/>
                <w:lang w:val="ro-MD" w:eastAsia="en-US"/>
              </w:rPr>
            </w:pPr>
            <w:r w:rsidRPr="002460E2">
              <w:rPr>
                <w:rFonts w:eastAsiaTheme="minorHAnsi"/>
                <w:b/>
                <w:bCs/>
                <w:sz w:val="18"/>
                <w:szCs w:val="18"/>
                <w:lang w:val="ro-MD" w:eastAsia="en-US"/>
              </w:rPr>
              <w:t xml:space="preserve">Corelațiile dintre benzi pentru riscul de </w:t>
            </w:r>
            <w:r w:rsidR="00B62813" w:rsidRPr="002460E2">
              <w:rPr>
                <w:rFonts w:eastAsiaTheme="minorHAnsi"/>
                <w:sz w:val="18"/>
                <w:szCs w:val="18"/>
                <w:lang w:val="ro-MD" w:eastAsia="en-US"/>
              </w:rPr>
              <w:t>111</w:t>
            </w:r>
            <w:r w:rsidRPr="002460E2">
              <w:rPr>
                <w:rFonts w:eastAsiaTheme="minorHAnsi"/>
                <w:sz w:val="18"/>
                <w:szCs w:val="18"/>
                <w:lang w:val="ro-MD" w:eastAsia="en-US"/>
              </w:rPr>
              <w:t>. Parametrul de corelație dintre benzi pentru riscul de marfă delta se stabilește la:</w:t>
            </w:r>
          </w:p>
          <w:p w14:paraId="2F24EDBD" w14:textId="77777777" w:rsidR="00B62813" w:rsidRPr="00B62813" w:rsidRDefault="00B62813" w:rsidP="00B62813">
            <w:pPr>
              <w:spacing w:line="259" w:lineRule="auto"/>
              <w:jc w:val="both"/>
              <w:rPr>
                <w:rFonts w:eastAsiaTheme="minorHAnsi"/>
                <w:sz w:val="18"/>
                <w:szCs w:val="18"/>
                <w:lang w:val="ro-MD" w:eastAsia="en-US"/>
              </w:rPr>
            </w:pPr>
            <w:r w:rsidRPr="00B62813">
              <w:rPr>
                <w:rFonts w:eastAsiaTheme="minorHAnsi"/>
                <w:sz w:val="18"/>
                <w:szCs w:val="18"/>
                <w:lang w:val="ro-MD" w:eastAsia="en-US"/>
              </w:rPr>
              <w:t>111.1. 20 % dacă cele două benzi se încadrează în benzile 1-12 de la punctul 109, tabelul 1;</w:t>
            </w:r>
          </w:p>
          <w:p w14:paraId="49A8BFB4" w14:textId="4F4ABDC3" w:rsidR="00DE1309" w:rsidRPr="002460E2" w:rsidRDefault="00B62813" w:rsidP="00DE1309">
            <w:pPr>
              <w:spacing w:line="259" w:lineRule="auto"/>
              <w:jc w:val="both"/>
              <w:rPr>
                <w:rFonts w:eastAsiaTheme="minorHAnsi"/>
                <w:sz w:val="18"/>
                <w:szCs w:val="18"/>
                <w:lang w:val="ro-MD" w:eastAsia="en-US"/>
              </w:rPr>
            </w:pPr>
            <w:r w:rsidRPr="00B62813">
              <w:rPr>
                <w:rFonts w:eastAsiaTheme="minorHAnsi"/>
                <w:sz w:val="18"/>
                <w:szCs w:val="18"/>
                <w:lang w:val="ro-MD" w:eastAsia="en-US"/>
              </w:rPr>
              <w:t>111.2. 0 % dacă una dintre cele două benzi este banda 13 de punctul 109, tabelul 1.</w:t>
            </w:r>
          </w:p>
        </w:tc>
        <w:tc>
          <w:tcPr>
            <w:tcW w:w="1229" w:type="dxa"/>
          </w:tcPr>
          <w:p w14:paraId="69CF4583" w14:textId="3094E2FF"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FAAACB9" w14:textId="77777777" w:rsidR="00DE1309" w:rsidRPr="002460E2" w:rsidRDefault="00DE1309" w:rsidP="00DE1309">
            <w:pPr>
              <w:jc w:val="both"/>
              <w:rPr>
                <w:sz w:val="18"/>
                <w:szCs w:val="18"/>
                <w:lang w:val="ro-MD"/>
              </w:rPr>
            </w:pPr>
          </w:p>
        </w:tc>
      </w:tr>
      <w:tr w:rsidR="00DE1309" w:rsidRPr="002460E2" w14:paraId="1BB39DFC" w14:textId="77777777" w:rsidTr="003F5B3C">
        <w:trPr>
          <w:trHeight w:val="918"/>
        </w:trPr>
        <w:tc>
          <w:tcPr>
            <w:tcW w:w="4253" w:type="dxa"/>
          </w:tcPr>
          <w:p w14:paraId="4E9BDA72" w14:textId="77777777" w:rsidR="00DE1309" w:rsidRPr="002460E2" w:rsidRDefault="00DE1309" w:rsidP="00DE1309">
            <w:pPr>
              <w:rPr>
                <w:sz w:val="18"/>
                <w:szCs w:val="18"/>
                <w:lang w:val="en-US"/>
              </w:rPr>
            </w:pPr>
            <w:r w:rsidRPr="002460E2">
              <w:rPr>
                <w:sz w:val="18"/>
                <w:szCs w:val="18"/>
                <w:lang w:val="en-US"/>
              </w:rPr>
              <w:t>(2) Parametrul de corelație dintre benzi pentru riscul de marfă vega se stabilește la:</w:t>
            </w:r>
          </w:p>
          <w:p w14:paraId="4C181BDC" w14:textId="77777777" w:rsidR="00DE1309" w:rsidRPr="002460E2" w:rsidRDefault="00DE1309" w:rsidP="00DE1309">
            <w:pPr>
              <w:rPr>
                <w:sz w:val="18"/>
                <w:szCs w:val="18"/>
                <w:lang w:val="en-US"/>
              </w:rPr>
            </w:pPr>
            <w:r w:rsidRPr="002460E2">
              <w:rPr>
                <w:sz w:val="18"/>
                <w:szCs w:val="18"/>
                <w:lang w:val="en-US"/>
              </w:rPr>
              <w:t>(a) 20 % dacă cele două benzi se încadrează în benzile 1-12 de la articolul 383x alineatul (1) tabelul 1;</w:t>
            </w:r>
          </w:p>
          <w:p w14:paraId="53F19598" w14:textId="77777777" w:rsidR="00DE1309" w:rsidRPr="002460E2" w:rsidRDefault="00DE1309" w:rsidP="00DE1309">
            <w:pPr>
              <w:rPr>
                <w:sz w:val="18"/>
                <w:szCs w:val="18"/>
                <w:lang w:val="en-US"/>
              </w:rPr>
            </w:pPr>
            <w:r w:rsidRPr="002460E2">
              <w:rPr>
                <w:sz w:val="18"/>
                <w:szCs w:val="18"/>
                <w:lang w:val="en-US"/>
              </w:rPr>
              <w:t>(b) 0 % dacă una dintre cele două benzi este banda 13 de la articolul 383x alineatul (1) tabelul 1.</w:t>
            </w:r>
          </w:p>
          <w:p w14:paraId="20B471E3" w14:textId="77777777" w:rsidR="00DE1309" w:rsidRPr="002460E2" w:rsidRDefault="00DE1309" w:rsidP="00DE1309">
            <w:pPr>
              <w:rPr>
                <w:i/>
                <w:iCs/>
                <w:sz w:val="18"/>
                <w:szCs w:val="18"/>
                <w:lang w:val="en-US"/>
              </w:rPr>
            </w:pPr>
          </w:p>
        </w:tc>
        <w:tc>
          <w:tcPr>
            <w:tcW w:w="3685" w:type="dxa"/>
            <w:shd w:val="clear" w:color="auto" w:fill="auto"/>
          </w:tcPr>
          <w:p w14:paraId="6E096D85" w14:textId="374C1915" w:rsidR="00DE1309" w:rsidRPr="002460E2" w:rsidRDefault="00B62813" w:rsidP="00DE1309">
            <w:pPr>
              <w:spacing w:line="259" w:lineRule="auto"/>
              <w:jc w:val="both"/>
              <w:rPr>
                <w:rFonts w:eastAsiaTheme="minorHAnsi"/>
                <w:sz w:val="18"/>
                <w:szCs w:val="18"/>
                <w:lang w:val="ro-MD" w:eastAsia="en-US"/>
              </w:rPr>
            </w:pPr>
            <w:r w:rsidRPr="002460E2">
              <w:rPr>
                <w:rFonts w:eastAsiaTheme="minorHAnsi"/>
                <w:sz w:val="18"/>
                <w:szCs w:val="18"/>
                <w:lang w:val="ro-MD" w:eastAsia="en-US"/>
              </w:rPr>
              <w:t>112</w:t>
            </w:r>
            <w:r w:rsidR="00DE1309" w:rsidRPr="002460E2">
              <w:rPr>
                <w:rFonts w:eastAsiaTheme="minorHAnsi"/>
                <w:sz w:val="18"/>
                <w:szCs w:val="18"/>
                <w:lang w:val="ro-MD" w:eastAsia="en-US"/>
              </w:rPr>
              <w:t>. Parametrul de corelație dintre benzi pentru riscul de marfă vega se stabilește la:</w:t>
            </w:r>
          </w:p>
          <w:p w14:paraId="4F303615" w14:textId="77777777" w:rsidR="00B62813" w:rsidRPr="00B62813" w:rsidRDefault="00B62813" w:rsidP="00B62813">
            <w:pPr>
              <w:spacing w:line="259" w:lineRule="auto"/>
              <w:jc w:val="both"/>
              <w:rPr>
                <w:rFonts w:eastAsiaTheme="minorHAnsi"/>
                <w:sz w:val="18"/>
                <w:szCs w:val="18"/>
                <w:lang w:val="ro-MD" w:eastAsia="en-US"/>
              </w:rPr>
            </w:pPr>
            <w:r w:rsidRPr="00B62813">
              <w:rPr>
                <w:rFonts w:eastAsiaTheme="minorHAnsi"/>
                <w:sz w:val="18"/>
                <w:szCs w:val="18"/>
                <w:lang w:val="ro-MD" w:eastAsia="en-US"/>
              </w:rPr>
              <w:t>112.1. 20 % dacă cele două benzi se încadrează în benzile 1-12 de la punctul 109, tabelul 1;</w:t>
            </w:r>
          </w:p>
          <w:p w14:paraId="4581DDE5" w14:textId="015ED2D6" w:rsidR="00DE1309" w:rsidRPr="002460E2" w:rsidRDefault="00B62813" w:rsidP="00B62813">
            <w:pPr>
              <w:spacing w:line="259" w:lineRule="auto"/>
              <w:jc w:val="both"/>
              <w:rPr>
                <w:rFonts w:eastAsiaTheme="minorHAnsi"/>
                <w:sz w:val="18"/>
                <w:szCs w:val="18"/>
                <w:lang w:val="ro-MD" w:eastAsia="en-US"/>
              </w:rPr>
            </w:pPr>
            <w:r w:rsidRPr="00B62813">
              <w:rPr>
                <w:rFonts w:eastAsiaTheme="minorHAnsi"/>
                <w:sz w:val="18"/>
                <w:szCs w:val="18"/>
                <w:lang w:val="ro-MD" w:eastAsia="en-US"/>
              </w:rPr>
              <w:t>112.2. 0 % dacă una dintre cele două benzi este banda 13 de la punctul 109, tabelul 1.</w:t>
            </w:r>
          </w:p>
        </w:tc>
        <w:tc>
          <w:tcPr>
            <w:tcW w:w="1229" w:type="dxa"/>
          </w:tcPr>
          <w:p w14:paraId="222A63A9" w14:textId="3A78ADC9"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4F3E14DF" w14:textId="77777777" w:rsidR="00DE1309" w:rsidRPr="002460E2" w:rsidRDefault="00DE1309" w:rsidP="00DE1309">
            <w:pPr>
              <w:jc w:val="both"/>
              <w:rPr>
                <w:sz w:val="18"/>
                <w:szCs w:val="18"/>
                <w:lang w:val="ro-MD"/>
              </w:rPr>
            </w:pPr>
          </w:p>
        </w:tc>
      </w:tr>
      <w:tr w:rsidR="000876C4" w:rsidRPr="002460E2" w14:paraId="5D42A572" w14:textId="77777777" w:rsidTr="003F5B3C">
        <w:trPr>
          <w:trHeight w:val="918"/>
        </w:trPr>
        <w:tc>
          <w:tcPr>
            <w:tcW w:w="4253" w:type="dxa"/>
          </w:tcPr>
          <w:p w14:paraId="23D1BA29" w14:textId="77777777" w:rsidR="000876C4" w:rsidRPr="002460E2" w:rsidRDefault="000876C4" w:rsidP="000876C4">
            <w:pPr>
              <w:rPr>
                <w:i/>
                <w:iCs/>
                <w:sz w:val="18"/>
                <w:szCs w:val="18"/>
                <w:lang w:val="en-US"/>
              </w:rPr>
            </w:pPr>
            <w:r w:rsidRPr="002460E2">
              <w:rPr>
                <w:i/>
                <w:iCs/>
                <w:sz w:val="18"/>
                <w:szCs w:val="18"/>
                <w:lang w:val="en-US"/>
              </w:rPr>
              <w:t>Articolul 384</w:t>
            </w:r>
          </w:p>
          <w:p w14:paraId="3FDF6BB8" w14:textId="77777777" w:rsidR="000876C4" w:rsidRPr="002460E2" w:rsidRDefault="000876C4" w:rsidP="000876C4">
            <w:pPr>
              <w:rPr>
                <w:b/>
                <w:bCs/>
                <w:sz w:val="18"/>
                <w:szCs w:val="18"/>
                <w:lang w:val="en-US"/>
              </w:rPr>
            </w:pPr>
            <w:r w:rsidRPr="002460E2">
              <w:rPr>
                <w:b/>
                <w:bCs/>
                <w:sz w:val="18"/>
                <w:szCs w:val="18"/>
                <w:lang w:val="en-US"/>
              </w:rPr>
              <w:t>Abordarea de bază</w:t>
            </w:r>
          </w:p>
          <w:p w14:paraId="669BA67E" w14:textId="51173C97" w:rsidR="000876C4" w:rsidRPr="002460E2" w:rsidRDefault="000876C4" w:rsidP="000876C4">
            <w:pPr>
              <w:rPr>
                <w:sz w:val="18"/>
                <w:szCs w:val="18"/>
                <w:lang w:val="en-US"/>
              </w:rPr>
            </w:pPr>
            <w:r w:rsidRPr="002460E2">
              <w:rPr>
                <w:sz w:val="18"/>
                <w:szCs w:val="18"/>
                <w:lang w:val="en-US"/>
              </w:rPr>
              <w:t>(1) O instituție calculează cerințele de fonduri proprii pentru riscul CVA în conformitate cu alineatul (2) sau (3) de la prezentul articol, după caz, pentru un portofoliu de tranzacții cu una sau mai multe contrapărți, utilizând una dintre următoarele formule, după caz:</w:t>
            </w:r>
          </w:p>
          <w:p w14:paraId="043863C6" w14:textId="037C4619" w:rsidR="000876C4" w:rsidRPr="002460E2" w:rsidRDefault="000876C4" w:rsidP="000876C4">
            <w:pPr>
              <w:rPr>
                <w:sz w:val="18"/>
                <w:szCs w:val="18"/>
                <w:lang w:val="en-US"/>
              </w:rPr>
            </w:pPr>
            <w:r w:rsidRPr="002460E2">
              <w:rPr>
                <w:sz w:val="18"/>
                <w:szCs w:val="18"/>
                <w:lang w:val="en-US"/>
              </w:rPr>
              <w:t xml:space="preserve">(a) formula prevăzută la alineatul (2) de la prezentul articol, dacă instituția include în calcul una sau mai </w:t>
            </w:r>
            <w:r w:rsidRPr="002460E2">
              <w:rPr>
                <w:sz w:val="18"/>
                <w:szCs w:val="18"/>
                <w:lang w:val="en-US"/>
              </w:rPr>
              <w:lastRenderedPageBreak/>
              <w:t>multe acoperiri eligibile recunoscute în conformitate cu articolul 386;</w:t>
            </w:r>
          </w:p>
          <w:p w14:paraId="11342E40" w14:textId="5199ED5F" w:rsidR="000876C4" w:rsidRPr="002460E2" w:rsidRDefault="000876C4" w:rsidP="000876C4">
            <w:pPr>
              <w:rPr>
                <w:sz w:val="18"/>
                <w:szCs w:val="18"/>
                <w:lang w:val="en-US"/>
              </w:rPr>
            </w:pPr>
            <w:r w:rsidRPr="002460E2">
              <w:rPr>
                <w:sz w:val="18"/>
                <w:szCs w:val="18"/>
                <w:lang w:val="en-US"/>
              </w:rPr>
              <w:t>(b) formula prevăzută la alineatul (3) de la prezentul articol, dacă instituția nu include în calcul nicio acoperire eligibilă recunoscută în conformitate cu articolul 386.</w:t>
            </w:r>
          </w:p>
          <w:p w14:paraId="19DF0BF8" w14:textId="77777777" w:rsidR="000876C4" w:rsidRPr="002460E2" w:rsidRDefault="000876C4" w:rsidP="000876C4">
            <w:pPr>
              <w:rPr>
                <w:sz w:val="18"/>
                <w:szCs w:val="18"/>
                <w:lang w:val="en-US"/>
              </w:rPr>
            </w:pPr>
            <w:r w:rsidRPr="002460E2">
              <w:rPr>
                <w:sz w:val="18"/>
                <w:szCs w:val="18"/>
                <w:lang w:val="en-US"/>
              </w:rPr>
              <w:t>Abordarea prevăzută la litera (a) de la primul paragraf nu se utilizează în combinație cu abordarea prevăzută la litera (b) de la paragraful respectiv.</w:t>
            </w:r>
          </w:p>
          <w:p w14:paraId="611D8DF4" w14:textId="77777777" w:rsidR="000876C4" w:rsidRPr="002460E2" w:rsidRDefault="000876C4" w:rsidP="000876C4">
            <w:pPr>
              <w:rPr>
                <w:sz w:val="18"/>
                <w:szCs w:val="18"/>
                <w:lang w:val="en-US"/>
              </w:rPr>
            </w:pPr>
          </w:p>
        </w:tc>
        <w:tc>
          <w:tcPr>
            <w:tcW w:w="3685" w:type="dxa"/>
            <w:shd w:val="clear" w:color="auto" w:fill="auto"/>
          </w:tcPr>
          <w:p w14:paraId="4A154854" w14:textId="77777777" w:rsidR="00B62813" w:rsidRPr="00B62813" w:rsidRDefault="00B62813" w:rsidP="00B62813">
            <w:pPr>
              <w:spacing w:line="259" w:lineRule="auto"/>
              <w:ind w:firstLine="425"/>
              <w:jc w:val="center"/>
              <w:rPr>
                <w:rFonts w:eastAsiaTheme="minorHAnsi"/>
                <w:b/>
                <w:bCs/>
                <w:sz w:val="18"/>
                <w:szCs w:val="18"/>
                <w:lang w:val="ro-MD" w:eastAsia="en-US"/>
              </w:rPr>
            </w:pPr>
            <w:r w:rsidRPr="00B62813">
              <w:rPr>
                <w:rFonts w:eastAsiaTheme="minorHAnsi"/>
                <w:b/>
                <w:bCs/>
                <w:sz w:val="18"/>
                <w:szCs w:val="18"/>
                <w:lang w:val="ro-MD" w:eastAsia="en-US"/>
              </w:rPr>
              <w:lastRenderedPageBreak/>
              <w:t>Capitolul V</w:t>
            </w:r>
          </w:p>
          <w:p w14:paraId="2D848A0B" w14:textId="77777777" w:rsidR="00B62813" w:rsidRPr="00B62813" w:rsidRDefault="00B62813" w:rsidP="00B62813">
            <w:pPr>
              <w:spacing w:line="259" w:lineRule="auto"/>
              <w:ind w:firstLine="425"/>
              <w:jc w:val="center"/>
              <w:rPr>
                <w:rFonts w:eastAsiaTheme="minorHAnsi"/>
                <w:b/>
                <w:bCs/>
                <w:sz w:val="18"/>
                <w:szCs w:val="18"/>
                <w:lang w:val="ro-MD" w:eastAsia="en-US"/>
              </w:rPr>
            </w:pPr>
            <w:r w:rsidRPr="00B62813">
              <w:rPr>
                <w:rFonts w:eastAsiaTheme="minorHAnsi"/>
                <w:b/>
                <w:bCs/>
                <w:sz w:val="18"/>
                <w:szCs w:val="18"/>
                <w:lang w:val="ro-MD" w:eastAsia="en-US"/>
              </w:rPr>
              <w:t>Abordarea de bază</w:t>
            </w:r>
          </w:p>
          <w:p w14:paraId="50B0A56E" w14:textId="77777777" w:rsidR="00B62813" w:rsidRPr="00B62813" w:rsidRDefault="00B62813" w:rsidP="00B62813">
            <w:pPr>
              <w:spacing w:line="259" w:lineRule="auto"/>
              <w:jc w:val="both"/>
              <w:rPr>
                <w:rFonts w:eastAsiaTheme="minorHAnsi"/>
                <w:sz w:val="18"/>
                <w:szCs w:val="18"/>
                <w:lang w:val="ro-MD" w:eastAsia="en-US"/>
              </w:rPr>
            </w:pPr>
            <w:r w:rsidRPr="00B62813">
              <w:rPr>
                <w:rFonts w:eastAsiaTheme="minorHAnsi"/>
                <w:sz w:val="18"/>
                <w:szCs w:val="18"/>
                <w:lang w:val="ro-MD" w:eastAsia="en-US"/>
              </w:rPr>
              <w:t>113. Banca calculează cerințele de fonduri proprii pentru riscul CVA în conformitate cu punctul 114 sau 115, după caz, pentru un portofoliu de tranzacții cu una sau mai multe contrapărți, utilizând una dintre următoarele formule, după caz:</w:t>
            </w:r>
          </w:p>
          <w:p w14:paraId="23C75A35" w14:textId="77777777" w:rsidR="00B62813" w:rsidRPr="00B62813" w:rsidRDefault="00B62813" w:rsidP="00B62813">
            <w:pPr>
              <w:spacing w:line="259" w:lineRule="auto"/>
              <w:jc w:val="both"/>
              <w:rPr>
                <w:rFonts w:eastAsiaTheme="minorHAnsi"/>
                <w:sz w:val="18"/>
                <w:szCs w:val="18"/>
                <w:lang w:val="it-IT" w:eastAsia="en-US"/>
              </w:rPr>
            </w:pPr>
            <w:r w:rsidRPr="00B62813">
              <w:rPr>
                <w:rFonts w:eastAsiaTheme="minorHAnsi"/>
                <w:sz w:val="18"/>
                <w:szCs w:val="18"/>
                <w:lang w:val="it-IT" w:eastAsia="en-US"/>
              </w:rPr>
              <w:lastRenderedPageBreak/>
              <w:t>113.1. formula prevăzută la punctul 114, în cazul în care banca include în calcul una sau mai multe acoperiri eligibile recunoscute în conformitate cu punctele 119-124;</w:t>
            </w:r>
          </w:p>
          <w:p w14:paraId="31DC76A6" w14:textId="77777777" w:rsidR="00B62813" w:rsidRPr="00B62813" w:rsidRDefault="00B62813" w:rsidP="00B62813">
            <w:pPr>
              <w:spacing w:line="259" w:lineRule="auto"/>
              <w:jc w:val="both"/>
              <w:rPr>
                <w:rFonts w:eastAsiaTheme="minorHAnsi"/>
                <w:sz w:val="18"/>
                <w:szCs w:val="18"/>
                <w:lang w:val="it-IT" w:eastAsia="en-US"/>
              </w:rPr>
            </w:pPr>
            <w:r w:rsidRPr="00B62813">
              <w:rPr>
                <w:rFonts w:eastAsiaTheme="minorHAnsi"/>
                <w:sz w:val="18"/>
                <w:szCs w:val="18"/>
                <w:lang w:val="it-IT" w:eastAsia="en-US"/>
              </w:rPr>
              <w:t xml:space="preserve">113.2. formula prevăzută la punctul 115, în cazul în care banca nu include în calcul nicio acoperire eligibilă recunoscută în conformitate cu </w:t>
            </w:r>
            <w:bookmarkStart w:id="12" w:name="_Hlk199145100"/>
            <w:r w:rsidRPr="00B62813">
              <w:rPr>
                <w:rFonts w:eastAsiaTheme="minorHAnsi"/>
                <w:sz w:val="18"/>
                <w:szCs w:val="18"/>
                <w:lang w:val="it-IT" w:eastAsia="en-US"/>
              </w:rPr>
              <w:t>punctele 119-124.</w:t>
            </w:r>
            <w:bookmarkEnd w:id="12"/>
          </w:p>
          <w:p w14:paraId="45DBAF78" w14:textId="2CDB8D99" w:rsidR="000876C4" w:rsidRPr="002460E2" w:rsidRDefault="00B62813" w:rsidP="00B62813">
            <w:pPr>
              <w:spacing w:line="259" w:lineRule="auto"/>
              <w:jc w:val="both"/>
              <w:rPr>
                <w:rFonts w:eastAsiaTheme="minorHAnsi"/>
                <w:sz w:val="18"/>
                <w:szCs w:val="18"/>
                <w:lang w:val="it-IT" w:eastAsia="en-US"/>
              </w:rPr>
            </w:pPr>
            <w:r w:rsidRPr="00B62813">
              <w:rPr>
                <w:rFonts w:eastAsiaTheme="minorHAnsi"/>
                <w:sz w:val="18"/>
                <w:szCs w:val="18"/>
                <w:lang w:val="it-IT" w:eastAsia="en-US"/>
              </w:rPr>
              <w:t>Abordarea prevăzută la subpunctul 113.1. nu se utilizează în combinație cu abordarea prevăzută la subpunctul 113.2.</w:t>
            </w:r>
          </w:p>
        </w:tc>
        <w:tc>
          <w:tcPr>
            <w:tcW w:w="1229" w:type="dxa"/>
          </w:tcPr>
          <w:p w14:paraId="17E762AB" w14:textId="0CF893EF" w:rsidR="000876C4" w:rsidRPr="002460E2" w:rsidRDefault="00233328" w:rsidP="000876C4">
            <w:pPr>
              <w:jc w:val="both"/>
              <w:rPr>
                <w:sz w:val="18"/>
                <w:szCs w:val="18"/>
                <w:lang w:val="ro-MD"/>
              </w:rPr>
            </w:pPr>
            <w:r>
              <w:rPr>
                <w:sz w:val="18"/>
                <w:szCs w:val="18"/>
                <w:lang w:val="ro-MD"/>
              </w:rPr>
              <w:lastRenderedPageBreak/>
              <w:t>compatibil</w:t>
            </w:r>
          </w:p>
        </w:tc>
        <w:tc>
          <w:tcPr>
            <w:tcW w:w="5292" w:type="dxa"/>
            <w:tcBorders>
              <w:top w:val="single" w:sz="4" w:space="0" w:color="auto"/>
              <w:bottom w:val="single" w:sz="4" w:space="0" w:color="auto"/>
            </w:tcBorders>
          </w:tcPr>
          <w:p w14:paraId="22C0E5F5" w14:textId="2DCB0BEC" w:rsidR="000876C4" w:rsidRPr="002460E2" w:rsidRDefault="000876C4" w:rsidP="000876C4">
            <w:pPr>
              <w:jc w:val="both"/>
              <w:rPr>
                <w:sz w:val="18"/>
                <w:szCs w:val="18"/>
                <w:lang w:val="ro-MD"/>
              </w:rPr>
            </w:pPr>
          </w:p>
        </w:tc>
      </w:tr>
      <w:tr w:rsidR="00DE1309" w:rsidRPr="002460E2" w14:paraId="776A92F4" w14:textId="77777777" w:rsidTr="003F5B3C">
        <w:trPr>
          <w:trHeight w:val="918"/>
        </w:trPr>
        <w:tc>
          <w:tcPr>
            <w:tcW w:w="4253" w:type="dxa"/>
          </w:tcPr>
          <w:p w14:paraId="37D54E23" w14:textId="684CE191" w:rsidR="00DE1309" w:rsidRPr="002460E2" w:rsidRDefault="00DE1309" w:rsidP="00DE1309">
            <w:pPr>
              <w:rPr>
                <w:sz w:val="18"/>
                <w:szCs w:val="18"/>
                <w:lang w:val="en-US"/>
              </w:rPr>
            </w:pPr>
            <w:r w:rsidRPr="002460E2">
              <w:rPr>
                <w:sz w:val="18"/>
                <w:szCs w:val="18"/>
                <w:lang w:val="en-US"/>
              </w:rPr>
              <w:t>(2) O instituție care îndeplinește condiția menționată la alineatul (1) litera (a) calculează cerințele de fonduri proprii pentru riscul CVA după cum urmează:</w:t>
            </w:r>
          </w:p>
          <w:p w14:paraId="0D2374C7" w14:textId="77777777" w:rsidR="00DE1309" w:rsidRPr="002460E2" w:rsidRDefault="00DE1309" w:rsidP="00DE1309">
            <w:pPr>
              <w:rPr>
                <w:sz w:val="18"/>
                <w:szCs w:val="18"/>
                <w:lang w:val="en-US"/>
              </w:rPr>
            </w:pPr>
            <w:r w:rsidRPr="002460E2">
              <w:rPr>
                <w:i/>
                <w:iCs/>
                <w:sz w:val="18"/>
                <w:szCs w:val="18"/>
                <w:lang w:val="en-US"/>
              </w:rPr>
              <w:t>BACVA</w:t>
            </w:r>
            <w:r w:rsidRPr="002460E2">
              <w:rPr>
                <w:i/>
                <w:iCs/>
                <w:sz w:val="18"/>
                <w:szCs w:val="18"/>
                <w:vertAlign w:val="superscript"/>
                <w:lang w:val="en-US"/>
              </w:rPr>
              <w:t>total</w:t>
            </w:r>
            <w:r w:rsidRPr="002460E2">
              <w:rPr>
                <w:i/>
                <w:iCs/>
                <w:sz w:val="18"/>
                <w:szCs w:val="18"/>
                <w:lang w:val="en-US"/>
              </w:rPr>
              <w:t xml:space="preserve"> = </w:t>
            </w:r>
            <w:r w:rsidRPr="002460E2">
              <w:rPr>
                <w:i/>
                <w:iCs/>
                <w:sz w:val="18"/>
                <w:szCs w:val="18"/>
              </w:rPr>
              <w:t>β·</w:t>
            </w:r>
            <w:r w:rsidRPr="002460E2">
              <w:rPr>
                <w:i/>
                <w:iCs/>
                <w:sz w:val="18"/>
                <w:szCs w:val="18"/>
                <w:lang w:val="en-US"/>
              </w:rPr>
              <w:t>BACVA</w:t>
            </w:r>
            <w:r w:rsidRPr="002460E2">
              <w:rPr>
                <w:i/>
                <w:iCs/>
                <w:sz w:val="18"/>
                <w:szCs w:val="18"/>
                <w:vertAlign w:val="superscript"/>
                <w:lang w:val="en-US"/>
              </w:rPr>
              <w:t>csr-fărăacoperire</w:t>
            </w:r>
            <w:r w:rsidRPr="002460E2">
              <w:rPr>
                <w:i/>
                <w:iCs/>
                <w:sz w:val="18"/>
                <w:szCs w:val="18"/>
                <w:lang w:val="en-US"/>
              </w:rPr>
              <w:t> + DS</w:t>
            </w:r>
            <w:r w:rsidRPr="002460E2">
              <w:rPr>
                <w:i/>
                <w:iCs/>
                <w:sz w:val="18"/>
                <w:szCs w:val="18"/>
                <w:vertAlign w:val="subscript"/>
                <w:lang w:val="en-US"/>
              </w:rPr>
              <w:t>CVA</w:t>
            </w:r>
            <w:r w:rsidRPr="002460E2">
              <w:rPr>
                <w:i/>
                <w:iCs/>
                <w:sz w:val="18"/>
                <w:szCs w:val="18"/>
                <w:lang w:val="en-US"/>
              </w:rPr>
              <w:t> </w:t>
            </w:r>
            <w:r w:rsidRPr="002460E2">
              <w:rPr>
                <w:i/>
                <w:iCs/>
                <w:sz w:val="18"/>
                <w:szCs w:val="18"/>
              </w:rPr>
              <w:t>·</w:t>
            </w:r>
            <w:r w:rsidRPr="002460E2">
              <w:rPr>
                <w:i/>
                <w:iCs/>
                <w:sz w:val="18"/>
                <w:szCs w:val="18"/>
                <w:lang w:val="en-US"/>
              </w:rPr>
              <w:t xml:space="preserve"> (1 – </w:t>
            </w:r>
            <w:r w:rsidRPr="002460E2">
              <w:rPr>
                <w:i/>
                <w:iCs/>
                <w:sz w:val="18"/>
                <w:szCs w:val="18"/>
              </w:rPr>
              <w:t>β</w:t>
            </w:r>
            <w:r w:rsidRPr="002460E2">
              <w:rPr>
                <w:i/>
                <w:iCs/>
                <w:sz w:val="18"/>
                <w:szCs w:val="18"/>
                <w:lang w:val="en-US"/>
              </w:rPr>
              <w:t xml:space="preserve">) </w:t>
            </w:r>
            <w:r w:rsidRPr="002460E2">
              <w:rPr>
                <w:i/>
                <w:iCs/>
                <w:sz w:val="18"/>
                <w:szCs w:val="18"/>
              </w:rPr>
              <w:t>·</w:t>
            </w:r>
            <w:r w:rsidRPr="002460E2">
              <w:rPr>
                <w:i/>
                <w:iCs/>
                <w:sz w:val="18"/>
                <w:szCs w:val="18"/>
                <w:lang w:val="en-US"/>
              </w:rPr>
              <w:t xml:space="preserve"> BACVA</w:t>
            </w:r>
            <w:r w:rsidRPr="002460E2">
              <w:rPr>
                <w:i/>
                <w:iCs/>
                <w:sz w:val="18"/>
                <w:szCs w:val="18"/>
                <w:vertAlign w:val="superscript"/>
                <w:lang w:val="en-US"/>
              </w:rPr>
              <w:t>csr-cuacoperire</w:t>
            </w:r>
          </w:p>
          <w:p w14:paraId="2443A487" w14:textId="77777777" w:rsidR="00DE1309" w:rsidRPr="002460E2" w:rsidRDefault="00DE1309" w:rsidP="00DE1309">
            <w:pPr>
              <w:rPr>
                <w:sz w:val="18"/>
                <w:szCs w:val="18"/>
              </w:rPr>
            </w:pPr>
            <w:r w:rsidRPr="002460E2">
              <w:rPr>
                <w:sz w:val="18"/>
                <w:szCs w:val="18"/>
              </w:rPr>
              <w:t>unde:</w:t>
            </w:r>
          </w:p>
          <w:tbl>
            <w:tblPr>
              <w:tblW w:w="7098" w:type="dxa"/>
              <w:tblLayout w:type="fixed"/>
              <w:tblCellMar>
                <w:left w:w="0" w:type="dxa"/>
                <w:right w:w="0" w:type="dxa"/>
              </w:tblCellMar>
              <w:tblLook w:val="04A0" w:firstRow="1" w:lastRow="0" w:firstColumn="1" w:lastColumn="0" w:noHBand="0" w:noVBand="1"/>
            </w:tblPr>
            <w:tblGrid>
              <w:gridCol w:w="835"/>
              <w:gridCol w:w="6263"/>
            </w:tblGrid>
            <w:tr w:rsidR="00DE1309" w:rsidRPr="002460E2" w14:paraId="2AA28641" w14:textId="77777777" w:rsidTr="006F5219">
              <w:trPr>
                <w:trHeight w:val="532"/>
              </w:trPr>
              <w:tc>
                <w:tcPr>
                  <w:tcW w:w="835" w:type="dxa"/>
                  <w:shd w:val="clear" w:color="auto" w:fill="auto"/>
                  <w:hideMark/>
                </w:tcPr>
                <w:p w14:paraId="520B854A" w14:textId="77777777" w:rsidR="00DE1309" w:rsidRPr="002460E2" w:rsidRDefault="00DE1309" w:rsidP="00DE1309">
                  <w:pPr>
                    <w:rPr>
                      <w:sz w:val="18"/>
                      <w:szCs w:val="18"/>
                    </w:rPr>
                  </w:pPr>
                  <w:r w:rsidRPr="002460E2">
                    <w:rPr>
                      <w:i/>
                      <w:iCs/>
                      <w:sz w:val="18"/>
                      <w:szCs w:val="18"/>
                    </w:rPr>
                    <w:t>BACVA</w:t>
                  </w:r>
                  <w:r w:rsidRPr="002460E2">
                    <w:rPr>
                      <w:i/>
                      <w:iCs/>
                      <w:sz w:val="18"/>
                      <w:szCs w:val="18"/>
                      <w:vertAlign w:val="superscript"/>
                    </w:rPr>
                    <w:t>total</w:t>
                  </w:r>
                </w:p>
              </w:tc>
              <w:tc>
                <w:tcPr>
                  <w:tcW w:w="6263" w:type="dxa"/>
                  <w:shd w:val="clear" w:color="auto" w:fill="auto"/>
                  <w:hideMark/>
                </w:tcPr>
                <w:p w14:paraId="3F714140" w14:textId="77777777" w:rsidR="00DE1309" w:rsidRPr="002460E2" w:rsidRDefault="00DE1309" w:rsidP="00DE1309">
                  <w:pPr>
                    <w:rPr>
                      <w:sz w:val="18"/>
                      <w:szCs w:val="18"/>
                      <w:lang w:val="en-US"/>
                    </w:rPr>
                  </w:pPr>
                  <w:r w:rsidRPr="002460E2">
                    <w:rPr>
                      <w:sz w:val="18"/>
                      <w:szCs w:val="18"/>
                      <w:lang w:val="en-US"/>
                    </w:rPr>
                    <w:t xml:space="preserve">= cerințele de fonduri proprii pentru </w:t>
                  </w:r>
                </w:p>
                <w:p w14:paraId="1F055535" w14:textId="4F77BBED" w:rsidR="00DE1309" w:rsidRPr="002460E2" w:rsidRDefault="00DE1309" w:rsidP="00DE1309">
                  <w:pPr>
                    <w:rPr>
                      <w:sz w:val="18"/>
                      <w:szCs w:val="18"/>
                      <w:lang w:val="en-US"/>
                    </w:rPr>
                  </w:pPr>
                  <w:r w:rsidRPr="002460E2">
                    <w:rPr>
                      <w:sz w:val="18"/>
                      <w:szCs w:val="18"/>
                      <w:lang w:val="en-US"/>
                    </w:rPr>
                    <w:t>riscul CVA conform abordării de bază;</w:t>
                  </w:r>
                </w:p>
              </w:tc>
            </w:tr>
          </w:tbl>
          <w:p w14:paraId="380547B3" w14:textId="77777777" w:rsidR="00DE1309" w:rsidRPr="002460E2" w:rsidRDefault="00DE1309" w:rsidP="00DE1309">
            <w:pPr>
              <w:rPr>
                <w:vanish/>
                <w:sz w:val="18"/>
                <w:szCs w:val="18"/>
              </w:rPr>
            </w:pPr>
          </w:p>
          <w:tbl>
            <w:tblPr>
              <w:tblW w:w="8795" w:type="dxa"/>
              <w:tblLayout w:type="fixed"/>
              <w:tblCellMar>
                <w:left w:w="0" w:type="dxa"/>
                <w:right w:w="0" w:type="dxa"/>
              </w:tblCellMar>
              <w:tblLook w:val="04A0" w:firstRow="1" w:lastRow="0" w:firstColumn="1" w:lastColumn="0" w:noHBand="0" w:noVBand="1"/>
            </w:tblPr>
            <w:tblGrid>
              <w:gridCol w:w="1086"/>
              <w:gridCol w:w="7709"/>
            </w:tblGrid>
            <w:tr w:rsidR="00DE1309" w:rsidRPr="002460E2" w14:paraId="1E179CF3" w14:textId="77777777" w:rsidTr="006F5219">
              <w:trPr>
                <w:trHeight w:val="1266"/>
              </w:trPr>
              <w:tc>
                <w:tcPr>
                  <w:tcW w:w="1086" w:type="dxa"/>
                  <w:shd w:val="clear" w:color="auto" w:fill="auto"/>
                  <w:hideMark/>
                </w:tcPr>
                <w:p w14:paraId="3D9C80EF" w14:textId="77777777" w:rsidR="00DE1309" w:rsidRPr="002460E2" w:rsidRDefault="00DE1309" w:rsidP="00DE1309">
                  <w:pPr>
                    <w:rPr>
                      <w:sz w:val="18"/>
                      <w:szCs w:val="18"/>
                    </w:rPr>
                  </w:pPr>
                  <w:r w:rsidRPr="002460E2">
                    <w:rPr>
                      <w:i/>
                      <w:iCs/>
                      <w:sz w:val="18"/>
                      <w:szCs w:val="18"/>
                    </w:rPr>
                    <w:t>BACVA</w:t>
                  </w:r>
                  <w:r w:rsidRPr="002460E2">
                    <w:rPr>
                      <w:i/>
                      <w:iCs/>
                      <w:sz w:val="18"/>
                      <w:szCs w:val="18"/>
                      <w:vertAlign w:val="superscript"/>
                    </w:rPr>
                    <w:t>csr-fărăacoperire</w:t>
                  </w:r>
                </w:p>
              </w:tc>
              <w:tc>
                <w:tcPr>
                  <w:tcW w:w="7709" w:type="dxa"/>
                  <w:shd w:val="clear" w:color="auto" w:fill="auto"/>
                  <w:hideMark/>
                </w:tcPr>
                <w:p w14:paraId="2FBE9E5F" w14:textId="77777777" w:rsidR="00DE1309" w:rsidRPr="002460E2" w:rsidRDefault="00DE1309" w:rsidP="00DE1309">
                  <w:pPr>
                    <w:rPr>
                      <w:sz w:val="18"/>
                      <w:szCs w:val="18"/>
                      <w:lang w:val="en-US"/>
                    </w:rPr>
                  </w:pPr>
                  <w:r w:rsidRPr="002460E2">
                    <w:rPr>
                      <w:sz w:val="18"/>
                      <w:szCs w:val="18"/>
                      <w:lang w:val="en-US"/>
                    </w:rPr>
                    <w:t>= cerințele de fonduri proprii pentru</w:t>
                  </w:r>
                </w:p>
                <w:p w14:paraId="58D613AD" w14:textId="77777777" w:rsidR="00DE1309" w:rsidRPr="002460E2" w:rsidRDefault="00DE1309" w:rsidP="00DE1309">
                  <w:pPr>
                    <w:rPr>
                      <w:sz w:val="18"/>
                      <w:szCs w:val="18"/>
                      <w:lang w:val="en-US"/>
                    </w:rPr>
                  </w:pPr>
                  <w:r w:rsidRPr="002460E2">
                    <w:rPr>
                      <w:sz w:val="18"/>
                      <w:szCs w:val="18"/>
                      <w:lang w:val="en-US"/>
                    </w:rPr>
                    <w:t xml:space="preserve">riscul CVA conform abordării de </w:t>
                  </w:r>
                </w:p>
                <w:p w14:paraId="01938BDC" w14:textId="77777777" w:rsidR="00DE1309" w:rsidRPr="002460E2" w:rsidRDefault="00DE1309" w:rsidP="00DE1309">
                  <w:pPr>
                    <w:rPr>
                      <w:sz w:val="18"/>
                      <w:szCs w:val="18"/>
                      <w:lang w:val="en-US"/>
                    </w:rPr>
                  </w:pPr>
                  <w:r w:rsidRPr="002460E2">
                    <w:rPr>
                      <w:sz w:val="18"/>
                      <w:szCs w:val="18"/>
                      <w:lang w:val="en-US"/>
                    </w:rPr>
                    <w:t xml:space="preserve">bază, calculate în conformitate cu </w:t>
                  </w:r>
                </w:p>
                <w:p w14:paraId="1EFA1A58" w14:textId="77777777" w:rsidR="00DE1309" w:rsidRPr="002460E2" w:rsidRDefault="00DE1309" w:rsidP="00DE1309">
                  <w:pPr>
                    <w:rPr>
                      <w:sz w:val="18"/>
                      <w:szCs w:val="18"/>
                      <w:lang w:val="en-US"/>
                    </w:rPr>
                  </w:pPr>
                  <w:r w:rsidRPr="002460E2">
                    <w:rPr>
                      <w:sz w:val="18"/>
                      <w:szCs w:val="18"/>
                      <w:lang w:val="en-US"/>
                    </w:rPr>
                    <w:t xml:space="preserve">alineatul (3) pentru o instituție care </w:t>
                  </w:r>
                </w:p>
                <w:p w14:paraId="2DE23D4F" w14:textId="77777777" w:rsidR="00DE1309" w:rsidRPr="002460E2" w:rsidRDefault="00DE1309" w:rsidP="00DE1309">
                  <w:pPr>
                    <w:rPr>
                      <w:sz w:val="18"/>
                      <w:szCs w:val="18"/>
                      <w:lang w:val="en-US"/>
                    </w:rPr>
                  </w:pPr>
                  <w:r w:rsidRPr="002460E2">
                    <w:rPr>
                      <w:sz w:val="18"/>
                      <w:szCs w:val="18"/>
                      <w:lang w:val="en-US"/>
                    </w:rPr>
                    <w:t xml:space="preserve">îndeplinește condiția prevăzută la </w:t>
                  </w:r>
                </w:p>
                <w:p w14:paraId="380B21AC" w14:textId="7BD1777F" w:rsidR="00DE1309" w:rsidRPr="002460E2" w:rsidRDefault="00DE1309" w:rsidP="00DE1309">
                  <w:pPr>
                    <w:rPr>
                      <w:sz w:val="18"/>
                      <w:szCs w:val="18"/>
                      <w:lang w:val="en-US"/>
                    </w:rPr>
                  </w:pPr>
                  <w:r w:rsidRPr="002460E2">
                    <w:rPr>
                      <w:sz w:val="18"/>
                      <w:szCs w:val="18"/>
                      <w:lang w:val="en-US"/>
                    </w:rPr>
                    <w:t>alineatul (1) litera (b);</w:t>
                  </w:r>
                </w:p>
              </w:tc>
            </w:tr>
          </w:tbl>
          <w:p w14:paraId="0AECEB79" w14:textId="77777777" w:rsidR="00DE1309" w:rsidRPr="002460E2" w:rsidRDefault="00DE1309" w:rsidP="00DE1309">
            <w:pPr>
              <w:rPr>
                <w:vanish/>
                <w:sz w:val="18"/>
                <w:szCs w:val="18"/>
              </w:rPr>
            </w:pPr>
          </w:p>
          <w:tbl>
            <w:tblPr>
              <w:tblW w:w="1966" w:type="pct"/>
              <w:tblLayout w:type="fixed"/>
              <w:tblCellMar>
                <w:left w:w="0" w:type="dxa"/>
                <w:right w:w="0" w:type="dxa"/>
              </w:tblCellMar>
              <w:tblLook w:val="04A0" w:firstRow="1" w:lastRow="0" w:firstColumn="1" w:lastColumn="0" w:noHBand="0" w:noVBand="1"/>
            </w:tblPr>
            <w:tblGrid>
              <w:gridCol w:w="656"/>
              <w:gridCol w:w="931"/>
            </w:tblGrid>
            <w:tr w:rsidR="00DE1309" w:rsidRPr="002460E2" w14:paraId="2CA3EF9E" w14:textId="77777777" w:rsidTr="006F5219">
              <w:trPr>
                <w:trHeight w:val="279"/>
              </w:trPr>
              <w:tc>
                <w:tcPr>
                  <w:tcW w:w="610" w:type="dxa"/>
                  <w:shd w:val="clear" w:color="auto" w:fill="auto"/>
                  <w:hideMark/>
                </w:tcPr>
                <w:p w14:paraId="3E124897" w14:textId="77777777" w:rsidR="00DE1309" w:rsidRPr="002460E2" w:rsidRDefault="00DE1309" w:rsidP="00DE1309">
                  <w:pPr>
                    <w:rPr>
                      <w:sz w:val="18"/>
                      <w:szCs w:val="18"/>
                    </w:rPr>
                  </w:pPr>
                  <w:r w:rsidRPr="002460E2">
                    <w:rPr>
                      <w:i/>
                      <w:iCs/>
                      <w:sz w:val="18"/>
                      <w:szCs w:val="18"/>
                    </w:rPr>
                    <w:t>DS</w:t>
                  </w:r>
                  <w:r w:rsidRPr="002460E2">
                    <w:rPr>
                      <w:i/>
                      <w:iCs/>
                      <w:sz w:val="18"/>
                      <w:szCs w:val="18"/>
                      <w:vertAlign w:val="subscript"/>
                    </w:rPr>
                    <w:t>CVA</w:t>
                  </w:r>
                </w:p>
              </w:tc>
              <w:tc>
                <w:tcPr>
                  <w:tcW w:w="866" w:type="dxa"/>
                  <w:shd w:val="clear" w:color="auto" w:fill="auto"/>
                  <w:hideMark/>
                </w:tcPr>
                <w:p w14:paraId="5E779535" w14:textId="77777777" w:rsidR="00DE1309" w:rsidRPr="002460E2" w:rsidRDefault="00DE1309" w:rsidP="00DE1309">
                  <w:pPr>
                    <w:rPr>
                      <w:sz w:val="18"/>
                      <w:szCs w:val="18"/>
                    </w:rPr>
                  </w:pPr>
                  <w:r w:rsidRPr="002460E2">
                    <w:rPr>
                      <w:sz w:val="18"/>
                      <w:szCs w:val="18"/>
                    </w:rPr>
                    <w:t>= 0,65 ;</w:t>
                  </w:r>
                </w:p>
              </w:tc>
            </w:tr>
          </w:tbl>
          <w:p w14:paraId="282C4050"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617"/>
              <w:gridCol w:w="3420"/>
            </w:tblGrid>
            <w:tr w:rsidR="00DE1309" w:rsidRPr="002460E2" w14:paraId="0CAD40A3" w14:textId="77777777" w:rsidTr="000E21FB">
              <w:tc>
                <w:tcPr>
                  <w:tcW w:w="1412" w:type="dxa"/>
                  <w:shd w:val="clear" w:color="auto" w:fill="auto"/>
                  <w:hideMark/>
                </w:tcPr>
                <w:p w14:paraId="44AC1494" w14:textId="77777777" w:rsidR="00DE1309" w:rsidRPr="002460E2" w:rsidRDefault="00DE1309" w:rsidP="00DE1309">
                  <w:pPr>
                    <w:rPr>
                      <w:sz w:val="18"/>
                      <w:szCs w:val="18"/>
                    </w:rPr>
                  </w:pPr>
                  <w:r w:rsidRPr="002460E2">
                    <w:rPr>
                      <w:i/>
                      <w:iCs/>
                      <w:sz w:val="18"/>
                      <w:szCs w:val="18"/>
                    </w:rPr>
                    <w:t>β</w:t>
                  </w:r>
                </w:p>
              </w:tc>
              <w:tc>
                <w:tcPr>
                  <w:tcW w:w="7943" w:type="dxa"/>
                  <w:shd w:val="clear" w:color="auto" w:fill="auto"/>
                  <w:hideMark/>
                </w:tcPr>
                <w:p w14:paraId="189E519A" w14:textId="77777777" w:rsidR="00DE1309" w:rsidRPr="002460E2" w:rsidRDefault="00DE1309" w:rsidP="00DE1309">
                  <w:pPr>
                    <w:rPr>
                      <w:sz w:val="18"/>
                      <w:szCs w:val="18"/>
                    </w:rPr>
                  </w:pPr>
                  <w:r w:rsidRPr="002460E2">
                    <w:rPr>
                      <w:sz w:val="18"/>
                      <w:szCs w:val="18"/>
                    </w:rPr>
                    <w:t>= 0,25 ;</w:t>
                  </w:r>
                </w:p>
              </w:tc>
            </w:tr>
          </w:tbl>
          <w:p w14:paraId="6D956FD3" w14:textId="77777777" w:rsidR="00DE1309" w:rsidRPr="002460E2" w:rsidRDefault="00DE1309" w:rsidP="00DE1309">
            <w:pPr>
              <w:rPr>
                <w:sz w:val="18"/>
                <w:szCs w:val="18"/>
              </w:rPr>
            </w:pPr>
            <w:r w:rsidRPr="002460E2">
              <w:rPr>
                <w:noProof/>
                <w:sz w:val="18"/>
                <w:szCs w:val="18"/>
              </w:rPr>
              <w:drawing>
                <wp:inline distT="0" distB="0" distL="0" distR="0" wp14:anchorId="1F8B2998" wp14:editId="7A889134">
                  <wp:extent cx="2323173" cy="429371"/>
                  <wp:effectExtent l="0" t="0" r="1270" b="889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31555" cy="449402"/>
                          </a:xfrm>
                          <a:prstGeom prst="rect">
                            <a:avLst/>
                          </a:prstGeom>
                          <a:noFill/>
                          <a:ln>
                            <a:noFill/>
                          </a:ln>
                        </pic:spPr>
                      </pic:pic>
                    </a:graphicData>
                  </a:graphic>
                </wp:inline>
              </w:drawing>
            </w:r>
          </w:p>
          <w:p w14:paraId="18EFDDDA" w14:textId="77777777" w:rsidR="00DE1309" w:rsidRPr="002460E2" w:rsidRDefault="00DE1309" w:rsidP="00DE1309">
            <w:pPr>
              <w:rPr>
                <w:sz w:val="18"/>
                <w:szCs w:val="18"/>
              </w:rPr>
            </w:pPr>
            <w:r w:rsidRPr="002460E2">
              <w:rPr>
                <w:sz w:val="18"/>
                <w:szCs w:val="18"/>
              </w:rPr>
              <w:t>unde:</w:t>
            </w:r>
          </w:p>
          <w:p w14:paraId="451EB2C3" w14:textId="77777777" w:rsidR="00DE1309" w:rsidRPr="002460E2" w:rsidRDefault="00DE1309" w:rsidP="00DE1309">
            <w:pPr>
              <w:rPr>
                <w:sz w:val="18"/>
                <w:szCs w:val="18"/>
              </w:rPr>
            </w:pPr>
            <w:r w:rsidRPr="002460E2">
              <w:rPr>
                <w:noProof/>
                <w:sz w:val="18"/>
                <w:szCs w:val="18"/>
              </w:rPr>
              <w:lastRenderedPageBreak/>
              <w:drawing>
                <wp:inline distT="0" distB="0" distL="0" distR="0" wp14:anchorId="58BF6702" wp14:editId="7876A443">
                  <wp:extent cx="2359452" cy="365760"/>
                  <wp:effectExtent l="0" t="0" r="3175"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53409" cy="380325"/>
                          </a:xfrm>
                          <a:prstGeom prst="rect">
                            <a:avLst/>
                          </a:prstGeom>
                          <a:noFill/>
                          <a:ln>
                            <a:noFill/>
                          </a:ln>
                        </pic:spPr>
                      </pic:pic>
                    </a:graphicData>
                  </a:graphic>
                </wp:inline>
              </w:drawing>
            </w:r>
          </w:p>
          <w:p w14:paraId="45BCB004" w14:textId="77777777" w:rsidR="00DE1309" w:rsidRPr="002460E2" w:rsidRDefault="00DE1309" w:rsidP="00DE1309">
            <w:pPr>
              <w:rPr>
                <w:sz w:val="18"/>
                <w:szCs w:val="18"/>
              </w:rPr>
            </w:pPr>
            <w:r w:rsidRPr="002460E2">
              <w:rPr>
                <w:noProof/>
                <w:sz w:val="18"/>
                <w:szCs w:val="18"/>
              </w:rPr>
              <w:drawing>
                <wp:inline distT="0" distB="0" distL="0" distR="0" wp14:anchorId="3BFC7586" wp14:editId="3D42EA7A">
                  <wp:extent cx="2330224" cy="373711"/>
                  <wp:effectExtent l="0" t="0" r="0" b="762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65566" cy="379379"/>
                          </a:xfrm>
                          <a:prstGeom prst="rect">
                            <a:avLst/>
                          </a:prstGeom>
                          <a:noFill/>
                          <a:ln>
                            <a:noFill/>
                          </a:ln>
                        </pic:spPr>
                      </pic:pic>
                    </a:graphicData>
                  </a:graphic>
                </wp:inline>
              </w:drawing>
            </w:r>
          </w:p>
          <w:p w14:paraId="72B966BC" w14:textId="77777777" w:rsidR="00DE1309" w:rsidRPr="002460E2" w:rsidRDefault="00DE1309" w:rsidP="00DE1309">
            <w:pPr>
              <w:rPr>
                <w:sz w:val="18"/>
                <w:szCs w:val="18"/>
              </w:rPr>
            </w:pPr>
            <w:r w:rsidRPr="002460E2">
              <w:rPr>
                <w:noProof/>
                <w:sz w:val="18"/>
                <w:szCs w:val="18"/>
              </w:rPr>
              <w:drawing>
                <wp:inline distT="0" distB="0" distL="0" distR="0" wp14:anchorId="215A239A" wp14:editId="2786CF6D">
                  <wp:extent cx="2269717" cy="413468"/>
                  <wp:effectExtent l="0" t="0" r="0" b="571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90631" cy="417278"/>
                          </a:xfrm>
                          <a:prstGeom prst="rect">
                            <a:avLst/>
                          </a:prstGeom>
                          <a:noFill/>
                          <a:ln>
                            <a:noFill/>
                          </a:ln>
                        </pic:spPr>
                      </pic:pic>
                    </a:graphicData>
                  </a:graphic>
                </wp:inline>
              </w:drawing>
            </w:r>
          </w:p>
          <w:p w14:paraId="4DA73FF8" w14:textId="77777777" w:rsidR="00DE1309" w:rsidRPr="002460E2" w:rsidRDefault="00DE1309" w:rsidP="00DE1309">
            <w:pPr>
              <w:rPr>
                <w:sz w:val="18"/>
                <w:szCs w:val="18"/>
              </w:rPr>
            </w:pPr>
            <w:r w:rsidRPr="002460E2">
              <w:rPr>
                <w:noProof/>
                <w:sz w:val="18"/>
                <w:szCs w:val="18"/>
              </w:rPr>
              <w:drawing>
                <wp:inline distT="0" distB="0" distL="0" distR="0" wp14:anchorId="20709954" wp14:editId="4815AE9D">
                  <wp:extent cx="2326179" cy="302149"/>
                  <wp:effectExtent l="0" t="0" r="0" b="317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34650" cy="316238"/>
                          </a:xfrm>
                          <a:prstGeom prst="rect">
                            <a:avLst/>
                          </a:prstGeom>
                          <a:noFill/>
                          <a:ln>
                            <a:noFill/>
                          </a:ln>
                        </pic:spPr>
                      </pic:pic>
                    </a:graphicData>
                  </a:graphic>
                </wp:inline>
              </w:drawing>
            </w:r>
          </w:p>
          <w:tbl>
            <w:tblPr>
              <w:tblW w:w="5000" w:type="pct"/>
              <w:tblLayout w:type="fixed"/>
              <w:tblCellMar>
                <w:left w:w="0" w:type="dxa"/>
                <w:right w:w="0" w:type="dxa"/>
              </w:tblCellMar>
              <w:tblLook w:val="04A0" w:firstRow="1" w:lastRow="0" w:firstColumn="1" w:lastColumn="0" w:noHBand="0" w:noVBand="1"/>
            </w:tblPr>
            <w:tblGrid>
              <w:gridCol w:w="705"/>
              <w:gridCol w:w="3332"/>
            </w:tblGrid>
            <w:tr w:rsidR="00DE1309" w:rsidRPr="002460E2" w14:paraId="28683EE7" w14:textId="77777777" w:rsidTr="000E21FB">
              <w:tc>
                <w:tcPr>
                  <w:tcW w:w="1616" w:type="dxa"/>
                  <w:shd w:val="clear" w:color="auto" w:fill="auto"/>
                  <w:hideMark/>
                </w:tcPr>
                <w:p w14:paraId="244DE8BC" w14:textId="77777777" w:rsidR="00DE1309" w:rsidRPr="002460E2" w:rsidRDefault="00DE1309" w:rsidP="00DE1309">
                  <w:pPr>
                    <w:rPr>
                      <w:sz w:val="18"/>
                      <w:szCs w:val="18"/>
                    </w:rPr>
                  </w:pPr>
                  <w:r w:rsidRPr="002460E2">
                    <w:rPr>
                      <w:i/>
                      <w:iCs/>
                      <w:sz w:val="18"/>
                      <w:szCs w:val="18"/>
                    </w:rPr>
                    <w:t>a</w:t>
                  </w:r>
                </w:p>
              </w:tc>
              <w:tc>
                <w:tcPr>
                  <w:tcW w:w="7739" w:type="dxa"/>
                  <w:shd w:val="clear" w:color="auto" w:fill="auto"/>
                  <w:hideMark/>
                </w:tcPr>
                <w:p w14:paraId="5BE62D64" w14:textId="77777777" w:rsidR="00DE1309" w:rsidRPr="002460E2" w:rsidRDefault="00DE1309" w:rsidP="00DE1309">
                  <w:pPr>
                    <w:rPr>
                      <w:sz w:val="18"/>
                      <w:szCs w:val="18"/>
                    </w:rPr>
                  </w:pPr>
                  <w:r w:rsidRPr="002460E2">
                    <w:rPr>
                      <w:sz w:val="18"/>
                      <w:szCs w:val="18"/>
                    </w:rPr>
                    <w:t>= 1,4 ;</w:t>
                  </w:r>
                </w:p>
              </w:tc>
            </w:tr>
          </w:tbl>
          <w:p w14:paraId="4241FB22"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695"/>
              <w:gridCol w:w="3342"/>
            </w:tblGrid>
            <w:tr w:rsidR="00DE1309" w:rsidRPr="002460E2" w14:paraId="7B2DC970" w14:textId="77777777" w:rsidTr="000E21FB">
              <w:tc>
                <w:tcPr>
                  <w:tcW w:w="1592" w:type="dxa"/>
                  <w:shd w:val="clear" w:color="auto" w:fill="auto"/>
                  <w:hideMark/>
                </w:tcPr>
                <w:p w14:paraId="784C31AC" w14:textId="77777777" w:rsidR="00DE1309" w:rsidRPr="002460E2" w:rsidRDefault="00DE1309" w:rsidP="00DE1309">
                  <w:pPr>
                    <w:rPr>
                      <w:sz w:val="18"/>
                      <w:szCs w:val="18"/>
                    </w:rPr>
                  </w:pPr>
                  <w:r w:rsidRPr="002460E2">
                    <w:rPr>
                      <w:i/>
                      <w:iCs/>
                      <w:sz w:val="18"/>
                      <w:szCs w:val="18"/>
                    </w:rPr>
                    <w:t>ρ</w:t>
                  </w:r>
                </w:p>
              </w:tc>
              <w:tc>
                <w:tcPr>
                  <w:tcW w:w="7763" w:type="dxa"/>
                  <w:shd w:val="clear" w:color="auto" w:fill="auto"/>
                  <w:hideMark/>
                </w:tcPr>
                <w:p w14:paraId="1E1A8A06" w14:textId="77777777" w:rsidR="00DE1309" w:rsidRPr="002460E2" w:rsidRDefault="00DE1309" w:rsidP="00DE1309">
                  <w:pPr>
                    <w:rPr>
                      <w:sz w:val="18"/>
                      <w:szCs w:val="18"/>
                    </w:rPr>
                  </w:pPr>
                  <w:r w:rsidRPr="002460E2">
                    <w:rPr>
                      <w:sz w:val="18"/>
                      <w:szCs w:val="18"/>
                    </w:rPr>
                    <w:t>= 0,5 ;</w:t>
                  </w:r>
                </w:p>
              </w:tc>
            </w:tr>
          </w:tbl>
          <w:p w14:paraId="2695D5E9" w14:textId="77777777" w:rsidR="00DE1309" w:rsidRPr="002460E2" w:rsidRDefault="00DE1309" w:rsidP="00DE1309">
            <w:pPr>
              <w:rPr>
                <w:vanish/>
                <w:sz w:val="18"/>
                <w:szCs w:val="18"/>
              </w:rPr>
            </w:pPr>
          </w:p>
          <w:tbl>
            <w:tblPr>
              <w:tblW w:w="6370" w:type="dxa"/>
              <w:tblLayout w:type="fixed"/>
              <w:tblCellMar>
                <w:left w:w="0" w:type="dxa"/>
                <w:right w:w="0" w:type="dxa"/>
              </w:tblCellMar>
              <w:tblLook w:val="04A0" w:firstRow="1" w:lastRow="0" w:firstColumn="1" w:lastColumn="0" w:noHBand="0" w:noVBand="1"/>
            </w:tblPr>
            <w:tblGrid>
              <w:gridCol w:w="98"/>
              <w:gridCol w:w="6272"/>
            </w:tblGrid>
            <w:tr w:rsidR="00DE1309" w:rsidRPr="002460E2" w14:paraId="4052BA88" w14:textId="77777777" w:rsidTr="006F5219">
              <w:trPr>
                <w:trHeight w:val="969"/>
              </w:trPr>
              <w:tc>
                <w:tcPr>
                  <w:tcW w:w="98" w:type="dxa"/>
                  <w:shd w:val="clear" w:color="auto" w:fill="auto"/>
                  <w:hideMark/>
                </w:tcPr>
                <w:p w14:paraId="5D3C07CF" w14:textId="77777777" w:rsidR="00DE1309" w:rsidRPr="002460E2" w:rsidRDefault="00DE1309" w:rsidP="00DE1309">
                  <w:pPr>
                    <w:rPr>
                      <w:sz w:val="18"/>
                      <w:szCs w:val="18"/>
                    </w:rPr>
                  </w:pPr>
                  <w:r w:rsidRPr="002460E2">
                    <w:rPr>
                      <w:sz w:val="18"/>
                      <w:szCs w:val="18"/>
                    </w:rPr>
                    <w:t>C</w:t>
                  </w:r>
                </w:p>
              </w:tc>
              <w:tc>
                <w:tcPr>
                  <w:tcW w:w="6272" w:type="dxa"/>
                  <w:shd w:val="clear" w:color="auto" w:fill="auto"/>
                  <w:hideMark/>
                </w:tcPr>
                <w:p w14:paraId="2AF2781E" w14:textId="77777777" w:rsidR="00DE1309" w:rsidRPr="002460E2" w:rsidRDefault="00DE1309" w:rsidP="00DE1309">
                  <w:pPr>
                    <w:rPr>
                      <w:sz w:val="18"/>
                      <w:szCs w:val="18"/>
                      <w:lang w:val="en-US"/>
                    </w:rPr>
                  </w:pPr>
                  <w:r w:rsidRPr="002460E2">
                    <w:rPr>
                      <w:sz w:val="18"/>
                      <w:szCs w:val="18"/>
                      <w:lang w:val="en-US"/>
                    </w:rPr>
                    <w:t xml:space="preserve">= indicele care desemnează toate contrapărțile </w:t>
                  </w:r>
                </w:p>
                <w:p w14:paraId="451144C2" w14:textId="77777777" w:rsidR="00DE1309" w:rsidRPr="002460E2" w:rsidRDefault="00DE1309" w:rsidP="00DE1309">
                  <w:pPr>
                    <w:rPr>
                      <w:sz w:val="18"/>
                      <w:szCs w:val="18"/>
                      <w:lang w:val="en-US"/>
                    </w:rPr>
                  </w:pPr>
                  <w:r w:rsidRPr="002460E2">
                    <w:rPr>
                      <w:sz w:val="18"/>
                      <w:szCs w:val="18"/>
                      <w:lang w:val="en-US"/>
                    </w:rPr>
                    <w:t xml:space="preserve">pentru care instituția calculează cerințele de </w:t>
                  </w:r>
                </w:p>
                <w:p w14:paraId="65FECD8A" w14:textId="77777777" w:rsidR="00DE1309" w:rsidRPr="002460E2" w:rsidRDefault="00DE1309" w:rsidP="00DE1309">
                  <w:pPr>
                    <w:rPr>
                      <w:sz w:val="18"/>
                      <w:szCs w:val="18"/>
                      <w:lang w:val="en-US"/>
                    </w:rPr>
                  </w:pPr>
                  <w:r w:rsidRPr="002460E2">
                    <w:rPr>
                      <w:sz w:val="18"/>
                      <w:szCs w:val="18"/>
                      <w:lang w:val="en-US"/>
                    </w:rPr>
                    <w:t xml:space="preserve">fonduri proprii pentru riscul CVA utilizând </w:t>
                  </w:r>
                </w:p>
                <w:p w14:paraId="63048AEE" w14:textId="42879228" w:rsidR="00DE1309" w:rsidRPr="002460E2" w:rsidRDefault="00DE1309" w:rsidP="00DE1309">
                  <w:pPr>
                    <w:rPr>
                      <w:sz w:val="18"/>
                      <w:szCs w:val="18"/>
                      <w:lang w:val="en-US"/>
                    </w:rPr>
                  </w:pPr>
                  <w:r w:rsidRPr="002460E2">
                    <w:rPr>
                      <w:sz w:val="18"/>
                      <w:szCs w:val="18"/>
                      <w:lang w:val="en-US"/>
                    </w:rPr>
                    <w:t>abordarea prevăzută la prezentul articol;</w:t>
                  </w:r>
                </w:p>
              </w:tc>
            </w:tr>
          </w:tbl>
          <w:p w14:paraId="40CAC6BA" w14:textId="77777777" w:rsidR="00DE1309" w:rsidRPr="002460E2" w:rsidRDefault="00DE1309" w:rsidP="00DE1309">
            <w:pPr>
              <w:rPr>
                <w:vanish/>
                <w:sz w:val="18"/>
                <w:szCs w:val="18"/>
              </w:rPr>
            </w:pPr>
          </w:p>
          <w:tbl>
            <w:tblPr>
              <w:tblW w:w="8039" w:type="dxa"/>
              <w:tblLayout w:type="fixed"/>
              <w:tblCellMar>
                <w:left w:w="0" w:type="dxa"/>
                <w:right w:w="0" w:type="dxa"/>
              </w:tblCellMar>
              <w:tblLook w:val="04A0" w:firstRow="1" w:lastRow="0" w:firstColumn="1" w:lastColumn="0" w:noHBand="0" w:noVBand="1"/>
            </w:tblPr>
            <w:tblGrid>
              <w:gridCol w:w="231"/>
              <w:gridCol w:w="7808"/>
            </w:tblGrid>
            <w:tr w:rsidR="00DE1309" w:rsidRPr="002460E2" w14:paraId="0A7A3432" w14:textId="77777777" w:rsidTr="006F5219">
              <w:trPr>
                <w:trHeight w:val="1389"/>
              </w:trPr>
              <w:tc>
                <w:tcPr>
                  <w:tcW w:w="231" w:type="dxa"/>
                  <w:shd w:val="clear" w:color="auto" w:fill="auto"/>
                  <w:hideMark/>
                </w:tcPr>
                <w:p w14:paraId="3E36A6CF" w14:textId="77777777" w:rsidR="00DE1309" w:rsidRPr="002460E2" w:rsidRDefault="00DE1309" w:rsidP="00DE1309">
                  <w:pPr>
                    <w:rPr>
                      <w:sz w:val="18"/>
                      <w:szCs w:val="18"/>
                    </w:rPr>
                  </w:pPr>
                  <w:r w:rsidRPr="002460E2">
                    <w:rPr>
                      <w:sz w:val="18"/>
                      <w:szCs w:val="18"/>
                    </w:rPr>
                    <w:t>NS</w:t>
                  </w:r>
                </w:p>
              </w:tc>
              <w:tc>
                <w:tcPr>
                  <w:tcW w:w="7808" w:type="dxa"/>
                  <w:shd w:val="clear" w:color="auto" w:fill="auto"/>
                  <w:hideMark/>
                </w:tcPr>
                <w:p w14:paraId="177E6EDD" w14:textId="77777777" w:rsidR="00DE1309" w:rsidRPr="002460E2" w:rsidRDefault="00DE1309" w:rsidP="00DE1309">
                  <w:pPr>
                    <w:rPr>
                      <w:sz w:val="18"/>
                      <w:szCs w:val="18"/>
                      <w:lang w:val="en-US"/>
                    </w:rPr>
                  </w:pPr>
                  <w:r w:rsidRPr="002460E2">
                    <w:rPr>
                      <w:sz w:val="18"/>
                      <w:szCs w:val="18"/>
                      <w:lang w:val="en-US"/>
                    </w:rPr>
                    <w:t xml:space="preserve">= indicele care desemnează toate seturile de </w:t>
                  </w:r>
                </w:p>
                <w:p w14:paraId="2338568C" w14:textId="77777777" w:rsidR="00DE1309" w:rsidRPr="002460E2" w:rsidRDefault="00DE1309" w:rsidP="00DE1309">
                  <w:pPr>
                    <w:rPr>
                      <w:sz w:val="18"/>
                      <w:szCs w:val="18"/>
                      <w:lang w:val="en-US"/>
                    </w:rPr>
                  </w:pPr>
                  <w:r w:rsidRPr="002460E2">
                    <w:rPr>
                      <w:sz w:val="18"/>
                      <w:szCs w:val="18"/>
                      <w:lang w:val="en-US"/>
                    </w:rPr>
                    <w:t>compensare cu o anumită contraparte pentru care</w:t>
                  </w:r>
                </w:p>
                <w:p w14:paraId="49CF1EF2" w14:textId="77777777" w:rsidR="00DE1309" w:rsidRPr="002460E2" w:rsidRDefault="00DE1309" w:rsidP="00DE1309">
                  <w:pPr>
                    <w:rPr>
                      <w:sz w:val="18"/>
                      <w:szCs w:val="18"/>
                      <w:lang w:val="en-US"/>
                    </w:rPr>
                  </w:pPr>
                  <w:r w:rsidRPr="002460E2">
                    <w:rPr>
                      <w:sz w:val="18"/>
                      <w:szCs w:val="18"/>
                      <w:lang w:val="en-US"/>
                    </w:rPr>
                    <w:t xml:space="preserve">instituția calculează cerințele de fonduri proprii </w:t>
                  </w:r>
                </w:p>
                <w:p w14:paraId="04B4F90F" w14:textId="77777777" w:rsidR="00DE1309" w:rsidRPr="002460E2" w:rsidRDefault="00DE1309" w:rsidP="00DE1309">
                  <w:pPr>
                    <w:rPr>
                      <w:sz w:val="18"/>
                      <w:szCs w:val="18"/>
                      <w:lang w:val="en-US"/>
                    </w:rPr>
                  </w:pPr>
                  <w:r w:rsidRPr="002460E2">
                    <w:rPr>
                      <w:sz w:val="18"/>
                      <w:szCs w:val="18"/>
                      <w:lang w:val="en-US"/>
                    </w:rPr>
                    <w:t xml:space="preserve">pentru riscul CVA utilizând abordarea prevăzută </w:t>
                  </w:r>
                </w:p>
                <w:p w14:paraId="51AA39DA" w14:textId="29E30148" w:rsidR="00DE1309" w:rsidRPr="002460E2" w:rsidRDefault="00DE1309" w:rsidP="00DE1309">
                  <w:pPr>
                    <w:rPr>
                      <w:sz w:val="18"/>
                      <w:szCs w:val="18"/>
                      <w:lang w:val="en-US"/>
                    </w:rPr>
                  </w:pPr>
                  <w:r w:rsidRPr="002460E2">
                    <w:rPr>
                      <w:sz w:val="18"/>
                      <w:szCs w:val="18"/>
                      <w:lang w:val="en-US"/>
                    </w:rPr>
                    <w:t>la prezentul articol;</w:t>
                  </w:r>
                </w:p>
              </w:tc>
            </w:tr>
          </w:tbl>
          <w:p w14:paraId="0D310708" w14:textId="77777777" w:rsidR="00DE1309" w:rsidRPr="002460E2" w:rsidRDefault="00DE1309" w:rsidP="00DE1309">
            <w:pPr>
              <w:rPr>
                <w:vanish/>
                <w:sz w:val="18"/>
                <w:szCs w:val="18"/>
              </w:rPr>
            </w:pPr>
          </w:p>
          <w:tbl>
            <w:tblPr>
              <w:tblW w:w="4329" w:type="pct"/>
              <w:tblLayout w:type="fixed"/>
              <w:tblCellMar>
                <w:left w:w="0" w:type="dxa"/>
                <w:right w:w="0" w:type="dxa"/>
              </w:tblCellMar>
              <w:tblLook w:val="04A0" w:firstRow="1" w:lastRow="0" w:firstColumn="1" w:lastColumn="0" w:noHBand="0" w:noVBand="1"/>
            </w:tblPr>
            <w:tblGrid>
              <w:gridCol w:w="291"/>
              <w:gridCol w:w="3204"/>
            </w:tblGrid>
            <w:tr w:rsidR="00DE1309" w:rsidRPr="002460E2" w14:paraId="7415B043" w14:textId="77777777" w:rsidTr="00520E50">
              <w:trPr>
                <w:trHeight w:val="1402"/>
              </w:trPr>
              <w:tc>
                <w:tcPr>
                  <w:tcW w:w="291" w:type="dxa"/>
                  <w:shd w:val="clear" w:color="auto" w:fill="auto"/>
                  <w:hideMark/>
                </w:tcPr>
                <w:p w14:paraId="2CE77F78" w14:textId="77777777" w:rsidR="00DE1309" w:rsidRPr="002460E2" w:rsidRDefault="00DE1309" w:rsidP="00DE1309">
                  <w:pPr>
                    <w:rPr>
                      <w:sz w:val="18"/>
                      <w:szCs w:val="18"/>
                    </w:rPr>
                  </w:pPr>
                  <w:r w:rsidRPr="002460E2">
                    <w:rPr>
                      <w:sz w:val="18"/>
                      <w:szCs w:val="18"/>
                    </w:rPr>
                    <w:t>H</w:t>
                  </w:r>
                </w:p>
              </w:tc>
              <w:tc>
                <w:tcPr>
                  <w:tcW w:w="3204" w:type="dxa"/>
                  <w:shd w:val="clear" w:color="auto" w:fill="auto"/>
                  <w:hideMark/>
                </w:tcPr>
                <w:p w14:paraId="4811F5F6" w14:textId="77777777" w:rsidR="00DE1309" w:rsidRPr="002460E2" w:rsidRDefault="00DE1309" w:rsidP="00DE1309">
                  <w:pPr>
                    <w:rPr>
                      <w:sz w:val="18"/>
                      <w:szCs w:val="18"/>
                      <w:lang w:val="en-US"/>
                    </w:rPr>
                  </w:pPr>
                  <w:r w:rsidRPr="002460E2">
                    <w:rPr>
                      <w:sz w:val="18"/>
                      <w:szCs w:val="18"/>
                      <w:lang w:val="en-US"/>
                    </w:rPr>
                    <w:t>= indicele care desemnează toate instrumentele având la bază o singură semnătură recunoscute ca acoperiri eligibile în conformitate cu articolul 386 pentru o anumită contraparte pentru care instituția calculează cerințele de fonduri proprii pentru riscul CVA utilizând abordarea prevăzută la prezentul articol;</w:t>
                  </w:r>
                </w:p>
              </w:tc>
            </w:tr>
          </w:tbl>
          <w:p w14:paraId="7F17E8A1" w14:textId="77777777" w:rsidR="00DE1309" w:rsidRPr="002460E2" w:rsidRDefault="00DE1309" w:rsidP="00DE1309">
            <w:pPr>
              <w:rPr>
                <w:vanish/>
                <w:sz w:val="18"/>
                <w:szCs w:val="18"/>
              </w:rPr>
            </w:pPr>
          </w:p>
          <w:tbl>
            <w:tblPr>
              <w:tblW w:w="3740" w:type="dxa"/>
              <w:tblLayout w:type="fixed"/>
              <w:tblCellMar>
                <w:left w:w="0" w:type="dxa"/>
                <w:right w:w="0" w:type="dxa"/>
              </w:tblCellMar>
              <w:tblLook w:val="04A0" w:firstRow="1" w:lastRow="0" w:firstColumn="1" w:lastColumn="0" w:noHBand="0" w:noVBand="1"/>
            </w:tblPr>
            <w:tblGrid>
              <w:gridCol w:w="140"/>
              <w:gridCol w:w="3600"/>
            </w:tblGrid>
            <w:tr w:rsidR="00DE1309" w:rsidRPr="002460E2" w14:paraId="7DB6B7B9" w14:textId="77777777" w:rsidTr="00520E50">
              <w:trPr>
                <w:trHeight w:val="1264"/>
              </w:trPr>
              <w:tc>
                <w:tcPr>
                  <w:tcW w:w="140" w:type="dxa"/>
                  <w:shd w:val="clear" w:color="auto" w:fill="auto"/>
                  <w:hideMark/>
                </w:tcPr>
                <w:p w14:paraId="53447713" w14:textId="77777777" w:rsidR="00DE1309" w:rsidRPr="002460E2" w:rsidRDefault="00DE1309" w:rsidP="00DE1309">
                  <w:pPr>
                    <w:rPr>
                      <w:sz w:val="18"/>
                      <w:szCs w:val="18"/>
                    </w:rPr>
                  </w:pPr>
                  <w:r w:rsidRPr="002460E2">
                    <w:rPr>
                      <w:sz w:val="18"/>
                      <w:szCs w:val="18"/>
                    </w:rPr>
                    <w:lastRenderedPageBreak/>
                    <w:t>I</w:t>
                  </w:r>
                </w:p>
              </w:tc>
              <w:tc>
                <w:tcPr>
                  <w:tcW w:w="3600" w:type="dxa"/>
                  <w:shd w:val="clear" w:color="auto" w:fill="auto"/>
                  <w:hideMark/>
                </w:tcPr>
                <w:p w14:paraId="04990739" w14:textId="77777777" w:rsidR="00DE1309" w:rsidRPr="002460E2" w:rsidRDefault="00DE1309" w:rsidP="00DE1309">
                  <w:pPr>
                    <w:rPr>
                      <w:sz w:val="18"/>
                      <w:szCs w:val="18"/>
                      <w:lang w:val="en-US"/>
                    </w:rPr>
                  </w:pPr>
                  <w:r w:rsidRPr="002460E2">
                    <w:rPr>
                      <w:sz w:val="18"/>
                      <w:szCs w:val="18"/>
                      <w:lang w:val="en-US"/>
                    </w:rPr>
                    <w:t>= indicele care desemnează toate instrumentele-indice recunoscute ca acoperiri eligibile în conformitate cu articolul 386 pentru toate contrapărțile pentru care instituția calculează cerințele de fonduri proprii pentru riscul CVA utilizând abordarea prevăzută la prezentul articol;</w:t>
                  </w:r>
                </w:p>
              </w:tc>
            </w:tr>
          </w:tbl>
          <w:p w14:paraId="65B31FE1" w14:textId="77777777" w:rsidR="00DE1309" w:rsidRPr="002460E2" w:rsidRDefault="00DE1309" w:rsidP="00DE1309">
            <w:pPr>
              <w:rPr>
                <w:vanish/>
                <w:sz w:val="18"/>
                <w:szCs w:val="18"/>
              </w:rPr>
            </w:pPr>
          </w:p>
          <w:tbl>
            <w:tblPr>
              <w:tblW w:w="7513" w:type="dxa"/>
              <w:tblLayout w:type="fixed"/>
              <w:tblCellMar>
                <w:left w:w="0" w:type="dxa"/>
                <w:right w:w="0" w:type="dxa"/>
              </w:tblCellMar>
              <w:tblLook w:val="04A0" w:firstRow="1" w:lastRow="0" w:firstColumn="1" w:lastColumn="0" w:noHBand="0" w:noVBand="1"/>
            </w:tblPr>
            <w:tblGrid>
              <w:gridCol w:w="318"/>
              <w:gridCol w:w="7195"/>
            </w:tblGrid>
            <w:tr w:rsidR="00DE1309" w:rsidRPr="002460E2" w14:paraId="58C2DBFB" w14:textId="77777777" w:rsidTr="00520E50">
              <w:trPr>
                <w:trHeight w:val="1150"/>
              </w:trPr>
              <w:tc>
                <w:tcPr>
                  <w:tcW w:w="318" w:type="dxa"/>
                  <w:shd w:val="clear" w:color="auto" w:fill="auto"/>
                  <w:hideMark/>
                </w:tcPr>
                <w:p w14:paraId="23DAD554" w14:textId="77777777" w:rsidR="00DE1309" w:rsidRPr="002460E2" w:rsidRDefault="00DE1309" w:rsidP="00DE1309">
                  <w:pPr>
                    <w:rPr>
                      <w:sz w:val="18"/>
                      <w:szCs w:val="18"/>
                    </w:rPr>
                  </w:pPr>
                  <w:r w:rsidRPr="002460E2">
                    <w:rPr>
                      <w:i/>
                      <w:iCs/>
                      <w:sz w:val="18"/>
                      <w:szCs w:val="18"/>
                    </w:rPr>
                    <w:t>RW</w:t>
                  </w:r>
                  <w:r w:rsidRPr="002460E2">
                    <w:rPr>
                      <w:i/>
                      <w:iCs/>
                      <w:sz w:val="18"/>
                      <w:szCs w:val="18"/>
                      <w:vertAlign w:val="subscript"/>
                    </w:rPr>
                    <w:t>c</w:t>
                  </w:r>
                </w:p>
              </w:tc>
              <w:tc>
                <w:tcPr>
                  <w:tcW w:w="7195" w:type="dxa"/>
                  <w:shd w:val="clear" w:color="auto" w:fill="auto"/>
                  <w:hideMark/>
                </w:tcPr>
                <w:p w14:paraId="2D11FCF5" w14:textId="77777777" w:rsidR="00DE1309" w:rsidRPr="002460E2" w:rsidRDefault="00DE1309" w:rsidP="00DE1309">
                  <w:pPr>
                    <w:rPr>
                      <w:sz w:val="18"/>
                      <w:szCs w:val="18"/>
                      <w:lang w:val="en-US"/>
                    </w:rPr>
                  </w:pPr>
                  <w:r w:rsidRPr="002460E2">
                    <w:rPr>
                      <w:sz w:val="18"/>
                      <w:szCs w:val="18"/>
                      <w:lang w:val="en-US"/>
                    </w:rPr>
                    <w:t xml:space="preserve">= ponderea de risc aplicabilă contrapărții c; </w:t>
                  </w:r>
                </w:p>
                <w:p w14:paraId="042CADFE" w14:textId="77777777" w:rsidR="00DE1309" w:rsidRPr="002460E2" w:rsidRDefault="00DE1309" w:rsidP="00DE1309">
                  <w:pPr>
                    <w:rPr>
                      <w:sz w:val="18"/>
                      <w:szCs w:val="18"/>
                      <w:lang w:val="en-US"/>
                    </w:rPr>
                  </w:pPr>
                  <w:r w:rsidRPr="002460E2">
                    <w:rPr>
                      <w:sz w:val="18"/>
                      <w:szCs w:val="18"/>
                      <w:lang w:val="en-US"/>
                    </w:rPr>
                    <w:t xml:space="preserve">contrapartea c este pusă în corespondență cu </w:t>
                  </w:r>
                </w:p>
                <w:p w14:paraId="5A454FD6" w14:textId="77777777" w:rsidR="00DE1309" w:rsidRPr="002460E2" w:rsidRDefault="00DE1309" w:rsidP="00DE1309">
                  <w:pPr>
                    <w:rPr>
                      <w:sz w:val="18"/>
                      <w:szCs w:val="18"/>
                      <w:lang w:val="en-US"/>
                    </w:rPr>
                  </w:pPr>
                  <w:r w:rsidRPr="002460E2">
                    <w:rPr>
                      <w:sz w:val="18"/>
                      <w:szCs w:val="18"/>
                      <w:lang w:val="en-US"/>
                    </w:rPr>
                    <w:t xml:space="preserve">una dintre ponderile de risc pe baza unei </w:t>
                  </w:r>
                </w:p>
                <w:p w14:paraId="23CF37E3" w14:textId="77777777" w:rsidR="00DE1309" w:rsidRPr="002460E2" w:rsidRDefault="00DE1309" w:rsidP="00DE1309">
                  <w:pPr>
                    <w:rPr>
                      <w:sz w:val="18"/>
                      <w:szCs w:val="18"/>
                      <w:lang w:val="en-US"/>
                    </w:rPr>
                  </w:pPr>
                  <w:r w:rsidRPr="002460E2">
                    <w:rPr>
                      <w:sz w:val="18"/>
                      <w:szCs w:val="18"/>
                      <w:lang w:val="en-US"/>
                    </w:rPr>
                    <w:t>combinații între sector și calitatea creditului și</w:t>
                  </w:r>
                </w:p>
                <w:p w14:paraId="1D36C226" w14:textId="5F9FC406" w:rsidR="00DE1309" w:rsidRPr="002460E2" w:rsidRDefault="00DE1309" w:rsidP="00DE1309">
                  <w:pPr>
                    <w:rPr>
                      <w:sz w:val="18"/>
                      <w:szCs w:val="18"/>
                      <w:lang w:val="en-US"/>
                    </w:rPr>
                  </w:pPr>
                  <w:r w:rsidRPr="002460E2">
                    <w:rPr>
                      <w:sz w:val="18"/>
                      <w:szCs w:val="18"/>
                      <w:lang w:val="en-US"/>
                    </w:rPr>
                    <w:t>se determină în conformitate cu tabelul 1.</w:t>
                  </w:r>
                </w:p>
              </w:tc>
            </w:tr>
          </w:tbl>
          <w:p w14:paraId="467E2485" w14:textId="77777777" w:rsidR="00DE1309" w:rsidRPr="002460E2" w:rsidRDefault="00DE1309" w:rsidP="00DE1309">
            <w:pPr>
              <w:rPr>
                <w:sz w:val="18"/>
                <w:szCs w:val="18"/>
                <w:lang w:val="en-US"/>
              </w:rPr>
            </w:pPr>
            <w:r w:rsidRPr="002460E2">
              <w:rPr>
                <w:sz w:val="18"/>
                <w:szCs w:val="18"/>
                <w:lang w:val="en-US"/>
              </w:rPr>
              <w:t>În cazul în care nu există ratinguri externe pentru o anumită contraparte, instituțiile pot, sub rezerva aprobării de către autoritățile competente,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p w14:paraId="704BD137" w14:textId="77777777" w:rsidR="00DE1309" w:rsidRPr="002460E2" w:rsidRDefault="00DE1309" w:rsidP="00DE1309">
            <w:pPr>
              <w:rPr>
                <w:sz w:val="18"/>
                <w:szCs w:val="18"/>
                <w:lang w:val="en-US"/>
              </w:rPr>
            </w:pPr>
            <w:r w:rsidRPr="002460E2">
              <w:rPr>
                <w:noProof/>
                <w:sz w:val="18"/>
                <w:szCs w:val="18"/>
              </w:rPr>
              <w:drawing>
                <wp:inline distT="0" distB="0" distL="0" distR="0" wp14:anchorId="78A8F8FF" wp14:editId="542F40A1">
                  <wp:extent cx="361315" cy="276225"/>
                  <wp:effectExtent l="0" t="0" r="635" b="9525"/>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2460E2">
              <w:rPr>
                <w:sz w:val="18"/>
                <w:szCs w:val="18"/>
                <w:lang w:val="en-US"/>
              </w:rPr>
              <w:t>= scadența efectivă a setului de compensare NS cu contrapartea „c”;</w:t>
            </w:r>
          </w:p>
          <w:p w14:paraId="27A60F16" w14:textId="77777777" w:rsidR="00DE1309" w:rsidRPr="002460E2" w:rsidRDefault="00DE1309" w:rsidP="00DE1309">
            <w:pPr>
              <w:rPr>
                <w:sz w:val="18"/>
                <w:szCs w:val="18"/>
                <w:lang w:val="en-US"/>
              </w:rPr>
            </w:pPr>
            <w:r w:rsidRPr="002460E2">
              <w:rPr>
                <w:noProof/>
                <w:sz w:val="18"/>
                <w:szCs w:val="18"/>
              </w:rPr>
              <w:drawing>
                <wp:inline distT="0" distB="0" distL="0" distR="0" wp14:anchorId="1A85C02B" wp14:editId="185D73C6">
                  <wp:extent cx="361315" cy="276225"/>
                  <wp:effectExtent l="0" t="0" r="635" b="952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2460E2">
              <w:rPr>
                <w:sz w:val="18"/>
                <w:szCs w:val="18"/>
                <w:lang w:val="en-US"/>
              </w:rPr>
              <w:t>se calculează în conformitate cu articolul 162; cu toate acestea, pentru acest calcul, </w:t>
            </w:r>
            <w:r w:rsidRPr="002460E2">
              <w:rPr>
                <w:noProof/>
                <w:sz w:val="18"/>
                <w:szCs w:val="18"/>
              </w:rPr>
              <w:drawing>
                <wp:inline distT="0" distB="0" distL="0" distR="0" wp14:anchorId="1C0FCD32" wp14:editId="756C8F3A">
                  <wp:extent cx="230587" cy="176284"/>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6287" cy="180642"/>
                          </a:xfrm>
                          <a:prstGeom prst="rect">
                            <a:avLst/>
                          </a:prstGeom>
                          <a:noFill/>
                          <a:ln>
                            <a:noFill/>
                          </a:ln>
                        </pic:spPr>
                      </pic:pic>
                    </a:graphicData>
                  </a:graphic>
                </wp:inline>
              </w:drawing>
            </w:r>
            <w:r w:rsidRPr="002460E2">
              <w:rPr>
                <w:sz w:val="18"/>
                <w:szCs w:val="18"/>
                <w:lang w:val="en-US"/>
              </w:rPr>
              <w:t> nu este plafonată la cinci ani, ci la cea mai lungă scadență contractuală reziduală din setul de compensare;</w:t>
            </w:r>
          </w:p>
          <w:tbl>
            <w:tblPr>
              <w:tblW w:w="5000" w:type="pct"/>
              <w:tblLayout w:type="fixed"/>
              <w:tblCellMar>
                <w:left w:w="0" w:type="dxa"/>
                <w:right w:w="0" w:type="dxa"/>
              </w:tblCellMar>
              <w:tblLook w:val="04A0" w:firstRow="1" w:lastRow="0" w:firstColumn="1" w:lastColumn="0" w:noHBand="0" w:noVBand="1"/>
            </w:tblPr>
            <w:tblGrid>
              <w:gridCol w:w="414"/>
              <w:gridCol w:w="3623"/>
            </w:tblGrid>
            <w:tr w:rsidR="00DE1309" w:rsidRPr="002460E2" w14:paraId="651C4F7B" w14:textId="77777777" w:rsidTr="000E21FB">
              <w:tc>
                <w:tcPr>
                  <w:tcW w:w="938" w:type="dxa"/>
                  <w:shd w:val="clear" w:color="auto" w:fill="auto"/>
                  <w:hideMark/>
                </w:tcPr>
                <w:p w14:paraId="289D8C3F" w14:textId="3A67EE16" w:rsidR="00DE1309" w:rsidRPr="002460E2" w:rsidRDefault="00DE1309" w:rsidP="00DE1309">
                  <w:pPr>
                    <w:rPr>
                      <w:sz w:val="18"/>
                      <w:szCs w:val="18"/>
                    </w:rPr>
                  </w:pPr>
                  <w:r w:rsidRPr="002460E2">
                    <w:rPr>
                      <w:noProof/>
                      <w:sz w:val="18"/>
                      <w:szCs w:val="18"/>
                    </w:rPr>
                    <w:drawing>
                      <wp:inline distT="0" distB="0" distL="0" distR="0" wp14:anchorId="40258E58" wp14:editId="57DF4AFE">
                        <wp:extent cx="276666" cy="159026"/>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4066" cy="192019"/>
                                </a:xfrm>
                                <a:prstGeom prst="rect">
                                  <a:avLst/>
                                </a:prstGeom>
                                <a:noFill/>
                                <a:ln>
                                  <a:noFill/>
                                </a:ln>
                              </pic:spPr>
                            </pic:pic>
                          </a:graphicData>
                        </a:graphic>
                      </wp:inline>
                    </w:drawing>
                  </w:r>
                </w:p>
              </w:tc>
              <w:tc>
                <w:tcPr>
                  <w:tcW w:w="8417" w:type="dxa"/>
                  <w:shd w:val="clear" w:color="auto" w:fill="auto"/>
                  <w:hideMark/>
                </w:tcPr>
                <w:p w14:paraId="3F1A0AC7" w14:textId="0494E460" w:rsidR="00DE1309" w:rsidRPr="002460E2" w:rsidRDefault="00DE1309" w:rsidP="00DE1309">
                  <w:pPr>
                    <w:rPr>
                      <w:sz w:val="18"/>
                      <w:szCs w:val="18"/>
                      <w:lang w:val="en-US"/>
                    </w:rPr>
                  </w:pPr>
                  <w:r w:rsidRPr="002460E2">
                    <w:rPr>
                      <w:sz w:val="18"/>
                      <w:szCs w:val="18"/>
                      <w:lang w:val="en-US"/>
                    </w:rPr>
                    <w:t xml:space="preserve">= valoarea expunerii la riscul de credit al contrapărții a setului de compensare NS cu contrapartea c, inclusiv efectul garanțiilor reale în conformitate cu metodele prevăzute în titlul II capitolul 6 secțiunile 3-6, astfel cum sunt aplicabile pentru calcularea cerințelor de fonduri </w:t>
                  </w:r>
                  <w:r w:rsidRPr="002460E2">
                    <w:rPr>
                      <w:sz w:val="18"/>
                      <w:szCs w:val="18"/>
                      <w:lang w:val="en-US"/>
                    </w:rPr>
                    <w:lastRenderedPageBreak/>
                    <w:t>proprii pentru riscul de credit al contrapărții menționată la articolul 92 alineatul (4) literele (a) și (g);</w:t>
                  </w:r>
                </w:p>
              </w:tc>
            </w:tr>
          </w:tbl>
          <w:p w14:paraId="0A21FDB3"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20"/>
              <w:gridCol w:w="3717"/>
            </w:tblGrid>
            <w:tr w:rsidR="00DE1309" w:rsidRPr="002460E2" w14:paraId="0C6EEB1A" w14:textId="77777777" w:rsidTr="000E21FB">
              <w:tc>
                <w:tcPr>
                  <w:tcW w:w="720" w:type="dxa"/>
                  <w:shd w:val="clear" w:color="auto" w:fill="auto"/>
                  <w:hideMark/>
                </w:tcPr>
                <w:p w14:paraId="550E719A" w14:textId="77777777" w:rsidR="00DE1309" w:rsidRPr="002460E2" w:rsidRDefault="00DE1309" w:rsidP="00DE1309">
                  <w:pPr>
                    <w:rPr>
                      <w:sz w:val="18"/>
                      <w:szCs w:val="18"/>
                    </w:rPr>
                  </w:pPr>
                  <w:r w:rsidRPr="002460E2">
                    <w:rPr>
                      <w:noProof/>
                      <w:sz w:val="18"/>
                      <w:szCs w:val="18"/>
                    </w:rPr>
                    <w:drawing>
                      <wp:inline distT="0" distB="0" distL="0" distR="0" wp14:anchorId="07E4F747" wp14:editId="7A70E3C7">
                        <wp:extent cx="197411" cy="119269"/>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9765" cy="126733"/>
                                </a:xfrm>
                                <a:prstGeom prst="rect">
                                  <a:avLst/>
                                </a:prstGeom>
                                <a:noFill/>
                                <a:ln>
                                  <a:noFill/>
                                </a:ln>
                              </pic:spPr>
                            </pic:pic>
                          </a:graphicData>
                        </a:graphic>
                      </wp:inline>
                    </w:drawing>
                  </w:r>
                </w:p>
              </w:tc>
              <w:tc>
                <w:tcPr>
                  <w:tcW w:w="8635" w:type="dxa"/>
                  <w:shd w:val="clear" w:color="auto" w:fill="auto"/>
                  <w:hideMark/>
                </w:tcPr>
                <w:p w14:paraId="2628F5EA" w14:textId="77777777" w:rsidR="00DE1309" w:rsidRPr="002460E2" w:rsidRDefault="00DE1309" w:rsidP="00DE1309">
                  <w:pPr>
                    <w:rPr>
                      <w:sz w:val="18"/>
                      <w:szCs w:val="18"/>
                      <w:lang w:val="en-US"/>
                    </w:rPr>
                  </w:pPr>
                  <w:r w:rsidRPr="002460E2">
                    <w:rPr>
                      <w:sz w:val="18"/>
                      <w:szCs w:val="18"/>
                      <w:lang w:val="en-US"/>
                    </w:rPr>
                    <w:t>= factorul de actualizare impus de autoritățile de supraveghere pentru setul de compensare NS cu contrapartea c.</w:t>
                  </w:r>
                </w:p>
              </w:tc>
            </w:tr>
          </w:tbl>
          <w:p w14:paraId="163DF6CD" w14:textId="77777777" w:rsidR="00DE1309" w:rsidRPr="002460E2" w:rsidRDefault="00DE1309" w:rsidP="00DE1309">
            <w:pPr>
              <w:rPr>
                <w:sz w:val="18"/>
                <w:szCs w:val="18"/>
                <w:lang w:val="en-US"/>
              </w:rPr>
            </w:pPr>
            <w:r w:rsidRPr="002460E2">
              <w:rPr>
                <w:sz w:val="18"/>
                <w:szCs w:val="18"/>
                <w:lang w:val="en-US"/>
              </w:rPr>
              <w:t>Pentru o instituție care utilizează metodele prevăzute în titlul II capitolul 6 secțiunea 6, factorul de actualizare impus de autoritățile de supraveghere este stabilit la 1; în caz contrar factorul de actualizare impus de autoritățile de supraveghere se calculează după cum urmează:</w:t>
            </w:r>
          </w:p>
          <w:p w14:paraId="6231CC58" w14:textId="77777777" w:rsidR="00DE1309" w:rsidRPr="002460E2" w:rsidRDefault="00DE1309" w:rsidP="00DE1309">
            <w:pPr>
              <w:jc w:val="center"/>
              <w:rPr>
                <w:sz w:val="18"/>
                <w:szCs w:val="18"/>
              </w:rPr>
            </w:pPr>
            <w:r w:rsidRPr="002460E2">
              <w:rPr>
                <w:noProof/>
                <w:sz w:val="18"/>
                <w:szCs w:val="18"/>
              </w:rPr>
              <w:drawing>
                <wp:inline distT="0" distB="0" distL="0" distR="0" wp14:anchorId="6F4F163A" wp14:editId="74E1185F">
                  <wp:extent cx="739471" cy="360137"/>
                  <wp:effectExtent l="0" t="0" r="3810" b="190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52329" cy="366399"/>
                          </a:xfrm>
                          <a:prstGeom prst="rect">
                            <a:avLst/>
                          </a:prstGeom>
                          <a:noFill/>
                          <a:ln>
                            <a:noFill/>
                          </a:ln>
                        </pic:spPr>
                      </pic:pic>
                    </a:graphicData>
                  </a:graphic>
                </wp:inline>
              </w:drawing>
            </w:r>
          </w:p>
          <w:tbl>
            <w:tblPr>
              <w:tblW w:w="5000" w:type="pct"/>
              <w:tblLayout w:type="fixed"/>
              <w:tblCellMar>
                <w:left w:w="0" w:type="dxa"/>
                <w:right w:w="0" w:type="dxa"/>
              </w:tblCellMar>
              <w:tblLook w:val="04A0" w:firstRow="1" w:lastRow="0" w:firstColumn="1" w:lastColumn="0" w:noHBand="0" w:noVBand="1"/>
            </w:tblPr>
            <w:tblGrid>
              <w:gridCol w:w="100"/>
              <w:gridCol w:w="3937"/>
            </w:tblGrid>
            <w:tr w:rsidR="00DE1309" w:rsidRPr="002460E2" w14:paraId="67BF0BD5" w14:textId="77777777" w:rsidTr="000E21FB">
              <w:tc>
                <w:tcPr>
                  <w:tcW w:w="206" w:type="dxa"/>
                  <w:shd w:val="clear" w:color="auto" w:fill="auto"/>
                  <w:hideMark/>
                </w:tcPr>
                <w:p w14:paraId="2B793CD0" w14:textId="77777777" w:rsidR="00DE1309" w:rsidRPr="002460E2" w:rsidRDefault="00DE1309" w:rsidP="00DE1309">
                  <w:pPr>
                    <w:rPr>
                      <w:sz w:val="18"/>
                      <w:szCs w:val="18"/>
                    </w:rPr>
                  </w:pPr>
                  <w:r w:rsidRPr="002460E2">
                    <w:rPr>
                      <w:i/>
                      <w:iCs/>
                      <w:sz w:val="18"/>
                      <w:szCs w:val="18"/>
                    </w:rPr>
                    <w:t>r</w:t>
                  </w:r>
                  <w:r w:rsidRPr="002460E2">
                    <w:rPr>
                      <w:i/>
                      <w:iCs/>
                      <w:sz w:val="18"/>
                      <w:szCs w:val="18"/>
                      <w:vertAlign w:val="subscript"/>
                    </w:rPr>
                    <w:t>hc</w:t>
                  </w:r>
                </w:p>
              </w:tc>
              <w:tc>
                <w:tcPr>
                  <w:tcW w:w="9149" w:type="dxa"/>
                  <w:shd w:val="clear" w:color="auto" w:fill="auto"/>
                  <w:hideMark/>
                </w:tcPr>
                <w:p w14:paraId="651EC02B" w14:textId="77777777" w:rsidR="00DE1309" w:rsidRPr="002460E2" w:rsidRDefault="00DE1309" w:rsidP="00DE1309">
                  <w:pPr>
                    <w:rPr>
                      <w:sz w:val="18"/>
                      <w:szCs w:val="18"/>
                      <w:lang w:val="en-US"/>
                    </w:rPr>
                  </w:pPr>
                  <w:r w:rsidRPr="002460E2">
                    <w:rPr>
                      <w:sz w:val="18"/>
                      <w:szCs w:val="18"/>
                      <w:lang w:val="en-US"/>
                    </w:rPr>
                    <w:t>= factorul de corelare impus de autoritățile de supraveghere, determinat în conformitate cu tabelul 2, între riscul de marjă de credit al contrapărții c și riscul de marjă de credit al unui instrument având la bază o singură semnătură recunoscut ca acoperire eligibilă h pentru contrapartea c;</w:t>
                  </w:r>
                </w:p>
              </w:tc>
            </w:tr>
          </w:tbl>
          <w:p w14:paraId="2735DEE5" w14:textId="77777777" w:rsidR="00DE1309" w:rsidRPr="002460E2" w:rsidRDefault="00DE1309" w:rsidP="00DE1309">
            <w:pPr>
              <w:rPr>
                <w:vanish/>
                <w:sz w:val="18"/>
                <w:szCs w:val="18"/>
              </w:rPr>
            </w:pPr>
          </w:p>
          <w:tbl>
            <w:tblPr>
              <w:tblW w:w="4765" w:type="dxa"/>
              <w:tblLayout w:type="fixed"/>
              <w:tblCellMar>
                <w:left w:w="0" w:type="dxa"/>
                <w:right w:w="0" w:type="dxa"/>
              </w:tblCellMar>
              <w:tblLook w:val="04A0" w:firstRow="1" w:lastRow="0" w:firstColumn="1" w:lastColumn="0" w:noHBand="0" w:noVBand="1"/>
            </w:tblPr>
            <w:tblGrid>
              <w:gridCol w:w="302"/>
              <w:gridCol w:w="4463"/>
            </w:tblGrid>
            <w:tr w:rsidR="00DE1309" w:rsidRPr="002460E2" w14:paraId="0BCD58E2" w14:textId="77777777" w:rsidTr="00FC7557">
              <w:trPr>
                <w:trHeight w:val="843"/>
              </w:trPr>
              <w:tc>
                <w:tcPr>
                  <w:tcW w:w="302" w:type="dxa"/>
                  <w:shd w:val="clear" w:color="auto" w:fill="auto"/>
                  <w:hideMark/>
                </w:tcPr>
                <w:p w14:paraId="58B4BBF9" w14:textId="77777777" w:rsidR="00DE1309" w:rsidRPr="002460E2" w:rsidRDefault="00DE1309" w:rsidP="00DE1309">
                  <w:pPr>
                    <w:rPr>
                      <w:sz w:val="18"/>
                      <w:szCs w:val="18"/>
                    </w:rPr>
                  </w:pPr>
                  <w:r w:rsidRPr="002460E2">
                    <w:rPr>
                      <w:noProof/>
                      <w:sz w:val="18"/>
                      <w:szCs w:val="18"/>
                    </w:rPr>
                    <w:drawing>
                      <wp:inline distT="0" distB="0" distL="0" distR="0" wp14:anchorId="5BF3E96B" wp14:editId="0366C342">
                        <wp:extent cx="197612" cy="151074"/>
                        <wp:effectExtent l="0" t="0" r="0" b="190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638" cy="157210"/>
                                </a:xfrm>
                                <a:prstGeom prst="rect">
                                  <a:avLst/>
                                </a:prstGeom>
                                <a:noFill/>
                                <a:ln>
                                  <a:noFill/>
                                </a:ln>
                              </pic:spPr>
                            </pic:pic>
                          </a:graphicData>
                        </a:graphic>
                      </wp:inline>
                    </w:drawing>
                  </w:r>
                </w:p>
              </w:tc>
              <w:tc>
                <w:tcPr>
                  <w:tcW w:w="4463" w:type="dxa"/>
                  <w:shd w:val="clear" w:color="auto" w:fill="auto"/>
                  <w:hideMark/>
                </w:tcPr>
                <w:p w14:paraId="3C82A461" w14:textId="77777777" w:rsidR="00DE1309" w:rsidRPr="002460E2" w:rsidRDefault="00DE1309" w:rsidP="00DE1309">
                  <w:pPr>
                    <w:rPr>
                      <w:sz w:val="18"/>
                      <w:szCs w:val="18"/>
                      <w:lang w:val="en-US"/>
                    </w:rPr>
                  </w:pPr>
                  <w:r w:rsidRPr="002460E2">
                    <w:rPr>
                      <w:sz w:val="18"/>
                      <w:szCs w:val="18"/>
                      <w:lang w:val="en-US"/>
                    </w:rPr>
                    <w:t>= scadența reziduală a unui instrument având la bază o singură semnătură recunoscut ca acoperire</w:t>
                  </w:r>
                </w:p>
                <w:p w14:paraId="289C35EC" w14:textId="7AE8FD98" w:rsidR="00DE1309" w:rsidRPr="002460E2" w:rsidRDefault="00DE1309" w:rsidP="00DE1309">
                  <w:pPr>
                    <w:rPr>
                      <w:sz w:val="18"/>
                      <w:szCs w:val="18"/>
                      <w:lang w:val="en-US"/>
                    </w:rPr>
                  </w:pPr>
                  <w:r w:rsidRPr="002460E2">
                    <w:rPr>
                      <w:sz w:val="18"/>
                      <w:szCs w:val="18"/>
                      <w:lang w:val="en-US"/>
                    </w:rPr>
                    <w:t>eligibilă;</w:t>
                  </w:r>
                </w:p>
              </w:tc>
            </w:tr>
          </w:tbl>
          <w:p w14:paraId="5FD787C7" w14:textId="77777777" w:rsidR="00DE1309" w:rsidRPr="002460E2" w:rsidRDefault="00DE1309" w:rsidP="00DE1309">
            <w:pPr>
              <w:rPr>
                <w:vanish/>
                <w:sz w:val="18"/>
                <w:szCs w:val="18"/>
              </w:rPr>
            </w:pPr>
          </w:p>
          <w:tbl>
            <w:tblPr>
              <w:tblW w:w="5704" w:type="dxa"/>
              <w:tblLayout w:type="fixed"/>
              <w:tblCellMar>
                <w:left w:w="0" w:type="dxa"/>
                <w:right w:w="0" w:type="dxa"/>
              </w:tblCellMar>
              <w:tblLook w:val="04A0" w:firstRow="1" w:lastRow="0" w:firstColumn="1" w:lastColumn="0" w:noHBand="0" w:noVBand="1"/>
            </w:tblPr>
            <w:tblGrid>
              <w:gridCol w:w="323"/>
              <w:gridCol w:w="5381"/>
            </w:tblGrid>
            <w:tr w:rsidR="00DE1309" w:rsidRPr="002460E2" w14:paraId="1EB306A0" w14:textId="77777777" w:rsidTr="00FC7557">
              <w:trPr>
                <w:trHeight w:val="731"/>
              </w:trPr>
              <w:tc>
                <w:tcPr>
                  <w:tcW w:w="323" w:type="dxa"/>
                  <w:shd w:val="clear" w:color="auto" w:fill="auto"/>
                  <w:hideMark/>
                </w:tcPr>
                <w:p w14:paraId="6A80C78A" w14:textId="77777777" w:rsidR="00DE1309" w:rsidRPr="002460E2" w:rsidRDefault="00DE1309" w:rsidP="00DE1309">
                  <w:pPr>
                    <w:rPr>
                      <w:sz w:val="18"/>
                      <w:szCs w:val="18"/>
                    </w:rPr>
                  </w:pPr>
                  <w:r w:rsidRPr="002460E2">
                    <w:rPr>
                      <w:noProof/>
                      <w:sz w:val="18"/>
                      <w:szCs w:val="18"/>
                    </w:rPr>
                    <w:drawing>
                      <wp:inline distT="0" distB="0" distL="0" distR="0" wp14:anchorId="5BCA3680" wp14:editId="09BB52F6">
                        <wp:extent cx="192695" cy="166977"/>
                        <wp:effectExtent l="0" t="0" r="0" b="508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0598" cy="191156"/>
                                </a:xfrm>
                                <a:prstGeom prst="rect">
                                  <a:avLst/>
                                </a:prstGeom>
                                <a:noFill/>
                                <a:ln>
                                  <a:noFill/>
                                </a:ln>
                              </pic:spPr>
                            </pic:pic>
                          </a:graphicData>
                        </a:graphic>
                      </wp:inline>
                    </w:drawing>
                  </w:r>
                </w:p>
              </w:tc>
              <w:tc>
                <w:tcPr>
                  <w:tcW w:w="5381" w:type="dxa"/>
                  <w:shd w:val="clear" w:color="auto" w:fill="auto"/>
                  <w:hideMark/>
                </w:tcPr>
                <w:p w14:paraId="514522F5" w14:textId="77777777" w:rsidR="00DE1309" w:rsidRPr="002460E2" w:rsidRDefault="00DE1309" w:rsidP="00DE1309">
                  <w:pPr>
                    <w:rPr>
                      <w:sz w:val="18"/>
                      <w:szCs w:val="18"/>
                      <w:lang w:val="en-US"/>
                    </w:rPr>
                  </w:pPr>
                  <w:r w:rsidRPr="002460E2">
                    <w:rPr>
                      <w:sz w:val="18"/>
                      <w:szCs w:val="18"/>
                      <w:lang w:val="en-US"/>
                    </w:rPr>
                    <w:t>= valoarea noțională a unui instrument având la</w:t>
                  </w:r>
                </w:p>
                <w:p w14:paraId="729ABE90" w14:textId="77777777" w:rsidR="00DE1309" w:rsidRPr="002460E2" w:rsidRDefault="00DE1309" w:rsidP="00DE1309">
                  <w:pPr>
                    <w:rPr>
                      <w:sz w:val="18"/>
                      <w:szCs w:val="18"/>
                      <w:lang w:val="en-US"/>
                    </w:rPr>
                  </w:pPr>
                  <w:r w:rsidRPr="002460E2">
                    <w:rPr>
                      <w:sz w:val="18"/>
                      <w:szCs w:val="18"/>
                      <w:lang w:val="en-US"/>
                    </w:rPr>
                    <w:t xml:space="preserve">bază o singură semnătură recunoscut ca acoperire </w:t>
                  </w:r>
                </w:p>
                <w:p w14:paraId="6973E8B3" w14:textId="0F8B6B29" w:rsidR="00DE1309" w:rsidRPr="002460E2" w:rsidRDefault="00DE1309" w:rsidP="00DE1309">
                  <w:pPr>
                    <w:rPr>
                      <w:sz w:val="18"/>
                      <w:szCs w:val="18"/>
                      <w:lang w:val="en-US"/>
                    </w:rPr>
                  </w:pPr>
                  <w:r w:rsidRPr="002460E2">
                    <w:rPr>
                      <w:sz w:val="18"/>
                      <w:szCs w:val="18"/>
                      <w:lang w:val="en-US"/>
                    </w:rPr>
                    <w:t>eligibilă;</w:t>
                  </w:r>
                </w:p>
              </w:tc>
            </w:tr>
          </w:tbl>
          <w:p w14:paraId="5511FBAB" w14:textId="77777777" w:rsidR="00DE1309" w:rsidRPr="002460E2" w:rsidRDefault="00DE1309" w:rsidP="00DE1309">
            <w:pPr>
              <w:rPr>
                <w:vanish/>
                <w:sz w:val="18"/>
                <w:szCs w:val="18"/>
              </w:rPr>
            </w:pPr>
          </w:p>
          <w:tbl>
            <w:tblPr>
              <w:tblW w:w="4136" w:type="dxa"/>
              <w:tblLayout w:type="fixed"/>
              <w:tblCellMar>
                <w:left w:w="0" w:type="dxa"/>
                <w:right w:w="0" w:type="dxa"/>
              </w:tblCellMar>
              <w:tblLook w:val="04A0" w:firstRow="1" w:lastRow="0" w:firstColumn="1" w:lastColumn="0" w:noHBand="0" w:noVBand="1"/>
            </w:tblPr>
            <w:tblGrid>
              <w:gridCol w:w="327"/>
              <w:gridCol w:w="3809"/>
            </w:tblGrid>
            <w:tr w:rsidR="00DE1309" w:rsidRPr="002460E2" w14:paraId="086B9F5C" w14:textId="77777777" w:rsidTr="00FC7557">
              <w:trPr>
                <w:trHeight w:val="1236"/>
              </w:trPr>
              <w:tc>
                <w:tcPr>
                  <w:tcW w:w="327" w:type="dxa"/>
                  <w:shd w:val="clear" w:color="auto" w:fill="auto"/>
                  <w:hideMark/>
                </w:tcPr>
                <w:p w14:paraId="2DF0BD44" w14:textId="77777777" w:rsidR="00DE1309" w:rsidRPr="002460E2" w:rsidRDefault="00DE1309" w:rsidP="00DE1309">
                  <w:pPr>
                    <w:rPr>
                      <w:sz w:val="18"/>
                      <w:szCs w:val="18"/>
                    </w:rPr>
                  </w:pPr>
                  <w:r w:rsidRPr="002460E2">
                    <w:rPr>
                      <w:noProof/>
                      <w:sz w:val="18"/>
                      <w:szCs w:val="18"/>
                    </w:rPr>
                    <w:drawing>
                      <wp:inline distT="0" distB="0" distL="0" distR="0" wp14:anchorId="610FD56A" wp14:editId="334C1B2D">
                        <wp:extent cx="210571" cy="127220"/>
                        <wp:effectExtent l="0" t="0" r="0" b="635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7973" cy="131692"/>
                                </a:xfrm>
                                <a:prstGeom prst="rect">
                                  <a:avLst/>
                                </a:prstGeom>
                                <a:noFill/>
                                <a:ln>
                                  <a:noFill/>
                                </a:ln>
                              </pic:spPr>
                            </pic:pic>
                          </a:graphicData>
                        </a:graphic>
                      </wp:inline>
                    </w:drawing>
                  </w:r>
                </w:p>
              </w:tc>
              <w:tc>
                <w:tcPr>
                  <w:tcW w:w="3809" w:type="dxa"/>
                  <w:shd w:val="clear" w:color="auto" w:fill="auto"/>
                  <w:hideMark/>
                </w:tcPr>
                <w:p w14:paraId="0799B3FF" w14:textId="77777777" w:rsidR="00DE1309" w:rsidRPr="002460E2" w:rsidRDefault="00DE1309" w:rsidP="00DE1309">
                  <w:pPr>
                    <w:rPr>
                      <w:sz w:val="18"/>
                      <w:szCs w:val="18"/>
                      <w:lang w:val="en-US"/>
                    </w:rPr>
                  </w:pPr>
                  <w:r w:rsidRPr="002460E2">
                    <w:rPr>
                      <w:sz w:val="18"/>
                      <w:szCs w:val="18"/>
                      <w:lang w:val="en-US"/>
                    </w:rPr>
                    <w:t>= factorul de actualizare impus de autoritățile de supraveghere pentru un instrument având la bază o singură semnătură recunoscut ca acoperire eligibilă, calculat după cum urmează:</w:t>
                  </w:r>
                </w:p>
                <w:p w14:paraId="2E9AEC65" w14:textId="77777777" w:rsidR="00DE1309" w:rsidRPr="002460E2" w:rsidRDefault="00DE1309" w:rsidP="00DE1309">
                  <w:pPr>
                    <w:jc w:val="center"/>
                    <w:rPr>
                      <w:sz w:val="18"/>
                      <w:szCs w:val="18"/>
                    </w:rPr>
                  </w:pPr>
                  <w:r w:rsidRPr="002460E2">
                    <w:rPr>
                      <w:noProof/>
                      <w:sz w:val="18"/>
                      <w:szCs w:val="18"/>
                    </w:rPr>
                    <w:drawing>
                      <wp:inline distT="0" distB="0" distL="0" distR="0" wp14:anchorId="0E62F47C" wp14:editId="3A344C7A">
                        <wp:extent cx="906449" cy="401925"/>
                        <wp:effectExtent l="0" t="0" r="8255"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15834" cy="406086"/>
                                </a:xfrm>
                                <a:prstGeom prst="rect">
                                  <a:avLst/>
                                </a:prstGeom>
                                <a:noFill/>
                                <a:ln>
                                  <a:noFill/>
                                </a:ln>
                              </pic:spPr>
                            </pic:pic>
                          </a:graphicData>
                        </a:graphic>
                      </wp:inline>
                    </w:drawing>
                  </w:r>
                </w:p>
              </w:tc>
            </w:tr>
          </w:tbl>
          <w:p w14:paraId="23CD3689"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78"/>
              <w:gridCol w:w="3659"/>
            </w:tblGrid>
            <w:tr w:rsidR="00DE1309" w:rsidRPr="002460E2" w14:paraId="396A01BF" w14:textId="77777777" w:rsidTr="000E21FB">
              <w:tc>
                <w:tcPr>
                  <w:tcW w:w="854" w:type="dxa"/>
                  <w:shd w:val="clear" w:color="auto" w:fill="auto"/>
                  <w:hideMark/>
                </w:tcPr>
                <w:p w14:paraId="12B1DC65" w14:textId="77777777" w:rsidR="00DE1309" w:rsidRPr="002460E2" w:rsidRDefault="00DE1309" w:rsidP="00DE1309">
                  <w:pPr>
                    <w:rPr>
                      <w:sz w:val="18"/>
                      <w:szCs w:val="18"/>
                    </w:rPr>
                  </w:pPr>
                  <w:r w:rsidRPr="002460E2">
                    <w:rPr>
                      <w:noProof/>
                      <w:sz w:val="18"/>
                      <w:szCs w:val="18"/>
                    </w:rPr>
                    <w:drawing>
                      <wp:inline distT="0" distB="0" distL="0" distR="0" wp14:anchorId="7E5FF53B" wp14:editId="3ECAB248">
                        <wp:extent cx="234153" cy="11927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6713" cy="135855"/>
                                </a:xfrm>
                                <a:prstGeom prst="rect">
                                  <a:avLst/>
                                </a:prstGeom>
                                <a:noFill/>
                                <a:ln>
                                  <a:noFill/>
                                </a:ln>
                              </pic:spPr>
                            </pic:pic>
                          </a:graphicData>
                        </a:graphic>
                      </wp:inline>
                    </w:drawing>
                  </w:r>
                </w:p>
              </w:tc>
              <w:tc>
                <w:tcPr>
                  <w:tcW w:w="8501" w:type="dxa"/>
                  <w:shd w:val="clear" w:color="auto" w:fill="auto"/>
                  <w:hideMark/>
                </w:tcPr>
                <w:p w14:paraId="4C60D220" w14:textId="77777777" w:rsidR="00DE1309" w:rsidRPr="002460E2" w:rsidRDefault="00DE1309" w:rsidP="00DE1309">
                  <w:pPr>
                    <w:rPr>
                      <w:sz w:val="18"/>
                      <w:szCs w:val="18"/>
                      <w:lang w:val="en-US"/>
                    </w:rPr>
                  </w:pPr>
                  <w:r w:rsidRPr="002460E2">
                    <w:rPr>
                      <w:sz w:val="18"/>
                      <w:szCs w:val="18"/>
                      <w:lang w:val="en-US"/>
                    </w:rPr>
                    <w:t xml:space="preserve">= ponderea de risc impusă de autoritățile de supraveghere a unui instrument având la bază </w:t>
                  </w:r>
                  <w:r w:rsidRPr="002460E2">
                    <w:rPr>
                      <w:sz w:val="18"/>
                      <w:szCs w:val="18"/>
                      <w:lang w:val="en-US"/>
                    </w:rPr>
                    <w:lastRenderedPageBreak/>
                    <w:t>o singură semnătură recunoscut ca acoperire eligibilă; ponderile de risc respective se bazează pe o combinație între sector și calitatea creditului aferentă marjei de credit de referință a instrumentului de acoperire și se determină în conformitate cu tabelul 1;</w:t>
                  </w:r>
                </w:p>
              </w:tc>
            </w:tr>
          </w:tbl>
          <w:p w14:paraId="32D1DA59"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95"/>
              <w:gridCol w:w="3742"/>
            </w:tblGrid>
            <w:tr w:rsidR="00DE1309" w:rsidRPr="002460E2" w14:paraId="42D6F5E3" w14:textId="77777777" w:rsidTr="000E21FB">
              <w:tc>
                <w:tcPr>
                  <w:tcW w:w="660" w:type="dxa"/>
                  <w:shd w:val="clear" w:color="auto" w:fill="auto"/>
                  <w:hideMark/>
                </w:tcPr>
                <w:p w14:paraId="37B259A1" w14:textId="77777777" w:rsidR="00DE1309" w:rsidRPr="002460E2" w:rsidRDefault="00DE1309" w:rsidP="00DE1309">
                  <w:pPr>
                    <w:rPr>
                      <w:sz w:val="18"/>
                      <w:szCs w:val="18"/>
                    </w:rPr>
                  </w:pPr>
                  <w:r w:rsidRPr="002460E2">
                    <w:rPr>
                      <w:noProof/>
                      <w:sz w:val="18"/>
                      <w:szCs w:val="18"/>
                    </w:rPr>
                    <w:drawing>
                      <wp:inline distT="0" distB="0" distL="0" distR="0" wp14:anchorId="0A53CCB1" wp14:editId="76F20C31">
                        <wp:extent cx="190978" cy="127221"/>
                        <wp:effectExtent l="0" t="0" r="0" b="635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2285" cy="134753"/>
                                </a:xfrm>
                                <a:prstGeom prst="rect">
                                  <a:avLst/>
                                </a:prstGeom>
                                <a:noFill/>
                                <a:ln>
                                  <a:noFill/>
                                </a:ln>
                              </pic:spPr>
                            </pic:pic>
                          </a:graphicData>
                        </a:graphic>
                      </wp:inline>
                    </w:drawing>
                  </w:r>
                </w:p>
              </w:tc>
              <w:tc>
                <w:tcPr>
                  <w:tcW w:w="8695" w:type="dxa"/>
                  <w:shd w:val="clear" w:color="auto" w:fill="auto"/>
                  <w:hideMark/>
                </w:tcPr>
                <w:p w14:paraId="50255266" w14:textId="77777777" w:rsidR="00DE1309" w:rsidRPr="002460E2" w:rsidRDefault="00DE1309" w:rsidP="00DE1309">
                  <w:pPr>
                    <w:rPr>
                      <w:sz w:val="18"/>
                      <w:szCs w:val="18"/>
                      <w:lang w:val="en-US"/>
                    </w:rPr>
                  </w:pPr>
                  <w:r w:rsidRPr="002460E2">
                    <w:rPr>
                      <w:sz w:val="18"/>
                      <w:szCs w:val="18"/>
                      <w:lang w:val="en-US"/>
                    </w:rPr>
                    <w:t>= scadența reziduală a uneia sau mai multor poziții pe același instrument-indice recunoscut ca acoperire eligibilă; în cazul în care există mai mult de o poziție pe același instrument-indice, </w:t>
                  </w:r>
                  <w:r w:rsidRPr="002460E2">
                    <w:rPr>
                      <w:noProof/>
                      <w:sz w:val="18"/>
                      <w:szCs w:val="18"/>
                    </w:rPr>
                    <w:drawing>
                      <wp:inline distT="0" distB="0" distL="0" distR="0" wp14:anchorId="7986969B" wp14:editId="48FA023A">
                        <wp:extent cx="254442" cy="169498"/>
                        <wp:effectExtent l="0" t="0" r="0" b="254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6329" cy="190740"/>
                                </a:xfrm>
                                <a:prstGeom prst="rect">
                                  <a:avLst/>
                                </a:prstGeom>
                                <a:noFill/>
                                <a:ln>
                                  <a:noFill/>
                                </a:ln>
                              </pic:spPr>
                            </pic:pic>
                          </a:graphicData>
                        </a:graphic>
                      </wp:inline>
                    </w:drawing>
                  </w:r>
                  <w:r w:rsidRPr="002460E2">
                    <w:rPr>
                      <w:sz w:val="18"/>
                      <w:szCs w:val="18"/>
                      <w:lang w:val="en-US"/>
                    </w:rPr>
                    <w:t> este scadența ponderată în funcție de valorile noționale a tuturor pozițiilor respective;</w:t>
                  </w:r>
                </w:p>
              </w:tc>
            </w:tr>
          </w:tbl>
          <w:p w14:paraId="4BA3CF58"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295"/>
              <w:gridCol w:w="3742"/>
            </w:tblGrid>
            <w:tr w:rsidR="00DE1309" w:rsidRPr="002460E2" w14:paraId="4DA0CCEF" w14:textId="77777777" w:rsidTr="000E21FB">
              <w:tc>
                <w:tcPr>
                  <w:tcW w:w="660" w:type="dxa"/>
                  <w:shd w:val="clear" w:color="auto" w:fill="auto"/>
                  <w:hideMark/>
                </w:tcPr>
                <w:p w14:paraId="6656408D" w14:textId="77777777" w:rsidR="00DE1309" w:rsidRPr="002460E2" w:rsidRDefault="00DE1309" w:rsidP="00DE1309">
                  <w:pPr>
                    <w:rPr>
                      <w:sz w:val="18"/>
                      <w:szCs w:val="18"/>
                    </w:rPr>
                  </w:pPr>
                  <w:r w:rsidRPr="002460E2">
                    <w:rPr>
                      <w:noProof/>
                      <w:sz w:val="18"/>
                      <w:szCs w:val="18"/>
                    </w:rPr>
                    <w:drawing>
                      <wp:inline distT="0" distB="0" distL="0" distR="0" wp14:anchorId="09AE26FF" wp14:editId="203FC1C9">
                        <wp:extent cx="202913" cy="135172"/>
                        <wp:effectExtent l="0" t="0" r="6985"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1583" cy="140948"/>
                                </a:xfrm>
                                <a:prstGeom prst="rect">
                                  <a:avLst/>
                                </a:prstGeom>
                                <a:noFill/>
                                <a:ln>
                                  <a:noFill/>
                                </a:ln>
                              </pic:spPr>
                            </pic:pic>
                          </a:graphicData>
                        </a:graphic>
                      </wp:inline>
                    </w:drawing>
                  </w:r>
                </w:p>
              </w:tc>
              <w:tc>
                <w:tcPr>
                  <w:tcW w:w="8695" w:type="dxa"/>
                  <w:shd w:val="clear" w:color="auto" w:fill="auto"/>
                  <w:hideMark/>
                </w:tcPr>
                <w:p w14:paraId="15F75C68" w14:textId="77777777" w:rsidR="00DE1309" w:rsidRPr="002460E2" w:rsidRDefault="00DE1309" w:rsidP="00DE1309">
                  <w:pPr>
                    <w:rPr>
                      <w:sz w:val="18"/>
                      <w:szCs w:val="18"/>
                      <w:lang w:val="en-US"/>
                    </w:rPr>
                  </w:pPr>
                  <w:r w:rsidRPr="002460E2">
                    <w:rPr>
                      <w:sz w:val="18"/>
                      <w:szCs w:val="18"/>
                      <w:lang w:val="en-US"/>
                    </w:rPr>
                    <w:t>= valoarea noțională integrală a uneia sau mai multor poziții pe același instrument-indice recunoscut ca acoperire eligibilă;</w:t>
                  </w:r>
                </w:p>
              </w:tc>
            </w:tr>
          </w:tbl>
          <w:p w14:paraId="2CE2CDC8"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349"/>
              <w:gridCol w:w="3688"/>
            </w:tblGrid>
            <w:tr w:rsidR="00DE1309" w:rsidRPr="002460E2" w14:paraId="1356D19F" w14:textId="77777777" w:rsidTr="000E21FB">
              <w:tc>
                <w:tcPr>
                  <w:tcW w:w="787" w:type="dxa"/>
                  <w:shd w:val="clear" w:color="auto" w:fill="auto"/>
                  <w:hideMark/>
                </w:tcPr>
                <w:p w14:paraId="13FD4D26" w14:textId="77777777" w:rsidR="00DE1309" w:rsidRPr="002460E2" w:rsidRDefault="00DE1309" w:rsidP="00DE1309">
                  <w:pPr>
                    <w:rPr>
                      <w:sz w:val="18"/>
                      <w:szCs w:val="18"/>
                    </w:rPr>
                  </w:pPr>
                  <w:r w:rsidRPr="002460E2">
                    <w:rPr>
                      <w:noProof/>
                      <w:sz w:val="18"/>
                      <w:szCs w:val="18"/>
                    </w:rPr>
                    <w:drawing>
                      <wp:inline distT="0" distB="0" distL="0" distR="0" wp14:anchorId="13A284DA" wp14:editId="72D51D3E">
                        <wp:extent cx="215783" cy="119270"/>
                        <wp:effectExtent l="0" t="0" r="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5187" cy="124468"/>
                                </a:xfrm>
                                <a:prstGeom prst="rect">
                                  <a:avLst/>
                                </a:prstGeom>
                                <a:noFill/>
                                <a:ln>
                                  <a:noFill/>
                                </a:ln>
                              </pic:spPr>
                            </pic:pic>
                          </a:graphicData>
                        </a:graphic>
                      </wp:inline>
                    </w:drawing>
                  </w:r>
                </w:p>
              </w:tc>
              <w:tc>
                <w:tcPr>
                  <w:tcW w:w="8568" w:type="dxa"/>
                  <w:shd w:val="clear" w:color="auto" w:fill="auto"/>
                  <w:hideMark/>
                </w:tcPr>
                <w:p w14:paraId="778555F6" w14:textId="77777777" w:rsidR="00DE1309" w:rsidRPr="002460E2" w:rsidRDefault="00DE1309" w:rsidP="00DE1309">
                  <w:pPr>
                    <w:rPr>
                      <w:sz w:val="18"/>
                      <w:szCs w:val="18"/>
                      <w:lang w:val="en-US"/>
                    </w:rPr>
                  </w:pPr>
                  <w:r w:rsidRPr="002460E2">
                    <w:rPr>
                      <w:sz w:val="18"/>
                      <w:szCs w:val="18"/>
                      <w:lang w:val="en-US"/>
                    </w:rPr>
                    <w:t>= factorul de actualizare impus de autoritățile de supraveghere pentru una sau mai multe poziții pe același instrument-indice recunoscut ca acoperire eligibilă, calculat după cum urmează:</w:t>
                  </w:r>
                </w:p>
                <w:p w14:paraId="513FB02F" w14:textId="77777777" w:rsidR="00DE1309" w:rsidRPr="002460E2" w:rsidRDefault="00DE1309" w:rsidP="00DE1309">
                  <w:pPr>
                    <w:jc w:val="center"/>
                    <w:rPr>
                      <w:sz w:val="18"/>
                      <w:szCs w:val="18"/>
                    </w:rPr>
                  </w:pPr>
                  <w:r w:rsidRPr="002460E2">
                    <w:rPr>
                      <w:noProof/>
                      <w:sz w:val="18"/>
                      <w:szCs w:val="18"/>
                    </w:rPr>
                    <w:drawing>
                      <wp:inline distT="0" distB="0" distL="0" distR="0" wp14:anchorId="1C1E7A11" wp14:editId="47A3D2A7">
                        <wp:extent cx="699715" cy="316153"/>
                        <wp:effectExtent l="0" t="0" r="5715" b="825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1536" cy="326012"/>
                                </a:xfrm>
                                <a:prstGeom prst="rect">
                                  <a:avLst/>
                                </a:prstGeom>
                                <a:noFill/>
                                <a:ln>
                                  <a:noFill/>
                                </a:ln>
                              </pic:spPr>
                            </pic:pic>
                          </a:graphicData>
                        </a:graphic>
                      </wp:inline>
                    </w:drawing>
                  </w:r>
                </w:p>
              </w:tc>
            </w:tr>
          </w:tbl>
          <w:p w14:paraId="04B46C60" w14:textId="77777777" w:rsidR="00DE1309" w:rsidRPr="002460E2" w:rsidRDefault="00DE1309" w:rsidP="00DE1309">
            <w:pPr>
              <w:rPr>
                <w:vanish/>
                <w:sz w:val="18"/>
                <w:szCs w:val="18"/>
              </w:rPr>
            </w:pPr>
          </w:p>
          <w:tbl>
            <w:tblPr>
              <w:tblW w:w="5000" w:type="pct"/>
              <w:tblLayout w:type="fixed"/>
              <w:tblCellMar>
                <w:left w:w="0" w:type="dxa"/>
                <w:right w:w="0" w:type="dxa"/>
              </w:tblCellMar>
              <w:tblLook w:val="04A0" w:firstRow="1" w:lastRow="0" w:firstColumn="1" w:lastColumn="0" w:noHBand="0" w:noVBand="1"/>
            </w:tblPr>
            <w:tblGrid>
              <w:gridCol w:w="414"/>
              <w:gridCol w:w="3623"/>
            </w:tblGrid>
            <w:tr w:rsidR="00DE1309" w:rsidRPr="002460E2" w14:paraId="09FAECB1" w14:textId="77777777" w:rsidTr="000E21FB">
              <w:tc>
                <w:tcPr>
                  <w:tcW w:w="938" w:type="dxa"/>
                  <w:shd w:val="clear" w:color="auto" w:fill="auto"/>
                  <w:hideMark/>
                </w:tcPr>
                <w:p w14:paraId="18AE476A" w14:textId="77777777" w:rsidR="00DE1309" w:rsidRPr="002460E2" w:rsidRDefault="00DE1309" w:rsidP="00DE1309">
                  <w:pPr>
                    <w:rPr>
                      <w:sz w:val="18"/>
                      <w:szCs w:val="18"/>
                    </w:rPr>
                  </w:pPr>
                  <w:r w:rsidRPr="002460E2">
                    <w:rPr>
                      <w:noProof/>
                      <w:sz w:val="18"/>
                      <w:szCs w:val="18"/>
                    </w:rPr>
                    <w:drawing>
                      <wp:inline distT="0" distB="0" distL="0" distR="0" wp14:anchorId="50FD57D1" wp14:editId="3994E5C6">
                        <wp:extent cx="274329" cy="127221"/>
                        <wp:effectExtent l="0" t="0" r="0" b="635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130" cy="135013"/>
                                </a:xfrm>
                                <a:prstGeom prst="rect">
                                  <a:avLst/>
                                </a:prstGeom>
                                <a:noFill/>
                                <a:ln>
                                  <a:noFill/>
                                </a:ln>
                              </pic:spPr>
                            </pic:pic>
                          </a:graphicData>
                        </a:graphic>
                      </wp:inline>
                    </w:drawing>
                  </w:r>
                </w:p>
              </w:tc>
              <w:tc>
                <w:tcPr>
                  <w:tcW w:w="8417" w:type="dxa"/>
                  <w:shd w:val="clear" w:color="auto" w:fill="auto"/>
                  <w:hideMark/>
                </w:tcPr>
                <w:p w14:paraId="70F66B3F" w14:textId="77777777" w:rsidR="00DE1309" w:rsidRPr="002460E2" w:rsidRDefault="00DE1309" w:rsidP="00DE1309">
                  <w:pPr>
                    <w:rPr>
                      <w:sz w:val="18"/>
                      <w:szCs w:val="18"/>
                      <w:lang w:val="en-US"/>
                    </w:rPr>
                  </w:pPr>
                  <w:r w:rsidRPr="002460E2">
                    <w:rPr>
                      <w:sz w:val="18"/>
                      <w:szCs w:val="18"/>
                      <w:lang w:val="en-US"/>
                    </w:rPr>
                    <w:t>= ponderea de risc impusă de autoritățile de supraveghere a unui instrument-indice recunoscut ca acoperire eligibilă; </w:t>
                  </w:r>
                  <w:r w:rsidRPr="002460E2">
                    <w:rPr>
                      <w:noProof/>
                      <w:sz w:val="18"/>
                      <w:szCs w:val="18"/>
                    </w:rPr>
                    <w:drawing>
                      <wp:inline distT="0" distB="0" distL="0" distR="0" wp14:anchorId="12BED33D" wp14:editId="4E80ADB5">
                        <wp:extent cx="310101" cy="143810"/>
                        <wp:effectExtent l="0" t="0" r="0" b="889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23271" cy="149918"/>
                                </a:xfrm>
                                <a:prstGeom prst="rect">
                                  <a:avLst/>
                                </a:prstGeom>
                                <a:noFill/>
                                <a:ln>
                                  <a:noFill/>
                                </a:ln>
                              </pic:spPr>
                            </pic:pic>
                          </a:graphicData>
                        </a:graphic>
                      </wp:inline>
                    </w:drawing>
                  </w:r>
                  <w:r w:rsidRPr="002460E2">
                    <w:rPr>
                      <w:sz w:val="18"/>
                      <w:szCs w:val="18"/>
                      <w:lang w:val="en-US"/>
                    </w:rPr>
                    <w:t> se bazează pe o combinație între sector și calitatea creditului aferentă tuturor componentelor indicelui, calculată după cum urmează:</w:t>
                  </w:r>
                </w:p>
                <w:p w14:paraId="389369D4" w14:textId="7B500B6A" w:rsidR="00DE1309" w:rsidRPr="002460E2" w:rsidRDefault="00DE1309" w:rsidP="00DE1309">
                  <w:pPr>
                    <w:rPr>
                      <w:sz w:val="18"/>
                      <w:szCs w:val="18"/>
                      <w:lang w:val="en-US"/>
                    </w:rPr>
                  </w:pPr>
                  <w:r w:rsidRPr="002460E2">
                    <w:rPr>
                      <w:sz w:val="18"/>
                      <w:szCs w:val="18"/>
                      <w:lang w:val="en-US"/>
                    </w:rPr>
                    <w:t>(a) dacă toate componentele indicelui aparțin aceluiași sector și au aceeași calitate a creditului, determinată în conformitate cu tabelul 1, </w:t>
                  </w:r>
                  <w:r w:rsidRPr="002460E2">
                    <w:rPr>
                      <w:noProof/>
                      <w:sz w:val="18"/>
                      <w:szCs w:val="18"/>
                    </w:rPr>
                    <w:drawing>
                      <wp:inline distT="0" distB="0" distL="0" distR="0" wp14:anchorId="38706FAE" wp14:editId="7EC1C5AC">
                        <wp:extent cx="333955" cy="154873"/>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4954" cy="159974"/>
                                </a:xfrm>
                                <a:prstGeom prst="rect">
                                  <a:avLst/>
                                </a:prstGeom>
                                <a:noFill/>
                                <a:ln>
                                  <a:noFill/>
                                </a:ln>
                              </pic:spPr>
                            </pic:pic>
                          </a:graphicData>
                        </a:graphic>
                      </wp:inline>
                    </w:drawing>
                  </w:r>
                  <w:r w:rsidRPr="002460E2">
                    <w:rPr>
                      <w:sz w:val="18"/>
                      <w:szCs w:val="18"/>
                      <w:lang w:val="en-US"/>
                    </w:rPr>
                    <w:t> se calculează ca fiind ponderea de risc relevantă din tabelul 1 pentru sectorul respectiv și calitatea creditului respectivă înmulțită cu 0,7 ;</w:t>
                  </w:r>
                </w:p>
                <w:p w14:paraId="32588BE0" w14:textId="3BA3C5DC" w:rsidR="00DE1309" w:rsidRPr="002460E2" w:rsidRDefault="00DE1309" w:rsidP="00DE1309">
                  <w:pPr>
                    <w:rPr>
                      <w:sz w:val="18"/>
                      <w:szCs w:val="18"/>
                      <w:lang w:val="en-US"/>
                    </w:rPr>
                  </w:pPr>
                  <w:r w:rsidRPr="002460E2">
                    <w:rPr>
                      <w:sz w:val="18"/>
                      <w:szCs w:val="18"/>
                      <w:lang w:val="en-US"/>
                    </w:rPr>
                    <w:lastRenderedPageBreak/>
                    <w:t>(b) dacă nu toate componentele indicelui aparțin aceluiași sector sau au aceeași calitate a creditului, </w:t>
                  </w:r>
                  <w:r w:rsidRPr="002460E2">
                    <w:rPr>
                      <w:noProof/>
                      <w:sz w:val="18"/>
                      <w:szCs w:val="18"/>
                    </w:rPr>
                    <w:drawing>
                      <wp:inline distT="0" distB="0" distL="0" distR="0" wp14:anchorId="5EFD6E09" wp14:editId="14EA6217">
                        <wp:extent cx="333955" cy="154873"/>
                        <wp:effectExtent l="0" t="0" r="0" b="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46248" cy="160574"/>
                                </a:xfrm>
                                <a:prstGeom prst="rect">
                                  <a:avLst/>
                                </a:prstGeom>
                                <a:noFill/>
                                <a:ln>
                                  <a:noFill/>
                                </a:ln>
                              </pic:spPr>
                            </pic:pic>
                          </a:graphicData>
                        </a:graphic>
                      </wp:inline>
                    </w:drawing>
                  </w:r>
                  <w:r w:rsidRPr="002460E2">
                    <w:rPr>
                      <w:sz w:val="18"/>
                      <w:szCs w:val="18"/>
                      <w:lang w:val="en-US"/>
                    </w:rPr>
                    <w:t> se calculează ca media ponderată a ponderilor de risc ale tuturor componentelor indicelui, determinate în conformitate cu tabelul 1, înmulțită cu 0,7;</w:t>
                  </w:r>
                </w:p>
              </w:tc>
            </w:tr>
          </w:tbl>
          <w:p w14:paraId="7A56ED62" w14:textId="77777777" w:rsidR="00DE1309" w:rsidRPr="002460E2" w:rsidRDefault="00DE1309" w:rsidP="00DE1309">
            <w:pPr>
              <w:rPr>
                <w:sz w:val="18"/>
                <w:szCs w:val="18"/>
                <w:lang w:val="en-US"/>
              </w:rPr>
            </w:pPr>
          </w:p>
          <w:p w14:paraId="73DDB372" w14:textId="77777777" w:rsidR="00DE1309" w:rsidRPr="002460E2" w:rsidRDefault="00DE1309" w:rsidP="00DE1309">
            <w:pPr>
              <w:rPr>
                <w:sz w:val="18"/>
                <w:szCs w:val="18"/>
                <w:lang w:val="en-US"/>
              </w:rPr>
            </w:pPr>
          </w:p>
          <w:p w14:paraId="1B3A1D85" w14:textId="77777777" w:rsidR="00DE1309" w:rsidRPr="002460E2" w:rsidRDefault="00DE1309" w:rsidP="00DE1309">
            <w:pPr>
              <w:jc w:val="center"/>
              <w:rPr>
                <w:i/>
                <w:iCs/>
                <w:sz w:val="18"/>
                <w:szCs w:val="18"/>
                <w:lang w:val="en-US"/>
              </w:rPr>
            </w:pPr>
            <w:r w:rsidRPr="002460E2">
              <w:rPr>
                <w:i/>
                <w:iCs/>
                <w:sz w:val="18"/>
                <w:szCs w:val="18"/>
                <w:lang w:val="en-US"/>
              </w:rPr>
              <w:t>Tabelul 1</w:t>
            </w:r>
          </w:p>
          <w:tbl>
            <w:tblPr>
              <w:tblW w:w="3721"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12"/>
              <w:gridCol w:w="696"/>
              <w:gridCol w:w="913"/>
            </w:tblGrid>
            <w:tr w:rsidR="00DE1309" w:rsidRPr="002460E2" w14:paraId="336C41C7" w14:textId="77777777" w:rsidTr="000E21FB">
              <w:trPr>
                <w:trHeight w:val="30"/>
                <w:jc w:val="center"/>
              </w:trPr>
              <w:tc>
                <w:tcPr>
                  <w:tcW w:w="211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A7BCDE" w14:textId="77777777" w:rsidR="00DE1309" w:rsidRPr="002460E2" w:rsidRDefault="00DE1309" w:rsidP="00DE1309">
                  <w:pPr>
                    <w:rPr>
                      <w:b/>
                      <w:bCs/>
                      <w:sz w:val="18"/>
                      <w:szCs w:val="18"/>
                    </w:rPr>
                  </w:pPr>
                  <w:r w:rsidRPr="002460E2">
                    <w:rPr>
                      <w:b/>
                      <w:bCs/>
                      <w:sz w:val="18"/>
                      <w:szCs w:val="18"/>
                    </w:rPr>
                    <w:t>Sectorul contrapărții</w:t>
                  </w:r>
                </w:p>
              </w:tc>
              <w:tc>
                <w:tcPr>
                  <w:tcW w:w="160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054D1E" w14:textId="77777777" w:rsidR="00DE1309" w:rsidRPr="002460E2" w:rsidRDefault="00DE1309" w:rsidP="00DE1309">
                  <w:pPr>
                    <w:rPr>
                      <w:b/>
                      <w:bCs/>
                      <w:sz w:val="18"/>
                      <w:szCs w:val="18"/>
                    </w:rPr>
                  </w:pPr>
                  <w:r w:rsidRPr="002460E2">
                    <w:rPr>
                      <w:b/>
                      <w:bCs/>
                      <w:sz w:val="18"/>
                      <w:szCs w:val="18"/>
                    </w:rPr>
                    <w:t>Calitatea creditului</w:t>
                  </w:r>
                </w:p>
              </w:tc>
            </w:tr>
            <w:tr w:rsidR="00DE1309" w:rsidRPr="002460E2" w14:paraId="530AC20E" w14:textId="77777777" w:rsidTr="000E21FB">
              <w:trPr>
                <w:trHeight w:val="13"/>
                <w:jc w:val="center"/>
              </w:trPr>
              <w:tc>
                <w:tcPr>
                  <w:tcW w:w="21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B244CE1" w14:textId="77777777" w:rsidR="00DE1309" w:rsidRPr="002460E2" w:rsidRDefault="00DE1309" w:rsidP="00DE1309">
                  <w:pPr>
                    <w:rPr>
                      <w:b/>
                      <w:bCs/>
                      <w:sz w:val="18"/>
                      <w:szCs w:val="18"/>
                    </w:rPr>
                  </w:pP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A6288F" w14:textId="77777777" w:rsidR="00DE1309" w:rsidRPr="002460E2" w:rsidRDefault="00DE1309" w:rsidP="00DE1309">
                  <w:pPr>
                    <w:rPr>
                      <w:b/>
                      <w:bCs/>
                      <w:sz w:val="18"/>
                      <w:szCs w:val="18"/>
                      <w:lang w:val="en-US"/>
                    </w:rPr>
                  </w:pPr>
                  <w:r w:rsidRPr="002460E2">
                    <w:rPr>
                      <w:b/>
                      <w:bCs/>
                      <w:sz w:val="18"/>
                      <w:szCs w:val="18"/>
                      <w:lang w:val="en-US"/>
                    </w:rPr>
                    <w:t>Nivelul 1-3</w:t>
                  </w:r>
                </w:p>
                <w:p w14:paraId="736EC119" w14:textId="77777777" w:rsidR="00DE1309" w:rsidRPr="002460E2" w:rsidRDefault="00DE1309" w:rsidP="00DE1309">
                  <w:pPr>
                    <w:rPr>
                      <w:b/>
                      <w:bCs/>
                      <w:sz w:val="18"/>
                      <w:szCs w:val="18"/>
                      <w:lang w:val="en-US"/>
                    </w:rPr>
                  </w:pPr>
                  <w:r w:rsidRPr="002460E2">
                    <w:rPr>
                      <w:b/>
                      <w:bCs/>
                      <w:sz w:val="18"/>
                      <w:szCs w:val="18"/>
                      <w:lang w:val="en-US"/>
                    </w:rPr>
                    <w:t>de calitate a creditului</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F2E366" w14:textId="77777777" w:rsidR="00DE1309" w:rsidRPr="002460E2" w:rsidRDefault="00DE1309" w:rsidP="00DE1309">
                  <w:pPr>
                    <w:rPr>
                      <w:b/>
                      <w:bCs/>
                      <w:sz w:val="18"/>
                      <w:szCs w:val="18"/>
                      <w:lang w:val="en-US"/>
                    </w:rPr>
                  </w:pPr>
                  <w:r w:rsidRPr="002460E2">
                    <w:rPr>
                      <w:b/>
                      <w:bCs/>
                      <w:sz w:val="18"/>
                      <w:szCs w:val="18"/>
                      <w:lang w:val="en-US"/>
                    </w:rPr>
                    <w:t>Nivelul 4-6 de calitate a creditului și fără rating</w:t>
                  </w:r>
                </w:p>
              </w:tc>
            </w:tr>
            <w:tr w:rsidR="00DE1309" w:rsidRPr="002460E2" w14:paraId="3B1653A4" w14:textId="77777777" w:rsidTr="000E21FB">
              <w:trPr>
                <w:trHeight w:val="87"/>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C3729E" w14:textId="77777777" w:rsidR="00DE1309" w:rsidRPr="002460E2" w:rsidRDefault="00DE1309" w:rsidP="00DE1309">
                  <w:pPr>
                    <w:rPr>
                      <w:sz w:val="18"/>
                      <w:szCs w:val="18"/>
                      <w:lang w:val="en-US"/>
                    </w:rPr>
                  </w:pPr>
                  <w:r w:rsidRPr="002460E2">
                    <w:rPr>
                      <w:sz w:val="18"/>
                      <w:szCs w:val="18"/>
                      <w:lang w:val="en-US"/>
                    </w:rPr>
                    <w:t>Administrația centrală, inclusiv băncile centrale, băncile de dezvoltare multilaterală și organizațiile internaționale menționate la articolul 117 alineatul (2) sau la articolul 118</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1107F2" w14:textId="77777777" w:rsidR="00DE1309" w:rsidRPr="002460E2" w:rsidRDefault="00DE1309" w:rsidP="00DE1309">
                  <w:pPr>
                    <w:rPr>
                      <w:sz w:val="18"/>
                      <w:szCs w:val="18"/>
                    </w:rPr>
                  </w:pPr>
                  <w:r w:rsidRPr="002460E2">
                    <w:rPr>
                      <w:sz w:val="18"/>
                      <w:szCs w:val="18"/>
                    </w:rPr>
                    <w:t>0,5  %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6A7BA6" w14:textId="77777777" w:rsidR="00DE1309" w:rsidRPr="002460E2" w:rsidRDefault="00DE1309" w:rsidP="00DE1309">
                  <w:pPr>
                    <w:rPr>
                      <w:sz w:val="18"/>
                      <w:szCs w:val="18"/>
                    </w:rPr>
                  </w:pPr>
                  <w:r w:rsidRPr="002460E2">
                    <w:rPr>
                      <w:sz w:val="18"/>
                      <w:szCs w:val="18"/>
                    </w:rPr>
                    <w:t>2,0  %</w:t>
                  </w:r>
                </w:p>
              </w:tc>
            </w:tr>
            <w:tr w:rsidR="00DE1309" w:rsidRPr="002460E2" w14:paraId="22BC9601" w14:textId="77777777" w:rsidTr="000E21FB">
              <w:trPr>
                <w:trHeight w:val="43"/>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93873A" w14:textId="77777777" w:rsidR="00DE1309" w:rsidRPr="002460E2" w:rsidRDefault="00DE1309" w:rsidP="00DE1309">
                  <w:pPr>
                    <w:rPr>
                      <w:sz w:val="18"/>
                      <w:szCs w:val="18"/>
                      <w:lang w:val="en-US"/>
                    </w:rPr>
                  </w:pPr>
                  <w:r w:rsidRPr="002460E2">
                    <w:rPr>
                      <w:sz w:val="18"/>
                      <w:szCs w:val="18"/>
                      <w:lang w:val="en-US"/>
                    </w:rPr>
                    <w:t>Administrație regională sau autoritate locală și entități din sectorul public</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B7B54E" w14:textId="77777777" w:rsidR="00DE1309" w:rsidRPr="002460E2" w:rsidRDefault="00DE1309" w:rsidP="00DE1309">
                  <w:pPr>
                    <w:rPr>
                      <w:sz w:val="18"/>
                      <w:szCs w:val="18"/>
                    </w:rPr>
                  </w:pPr>
                  <w:r w:rsidRPr="002460E2">
                    <w:rPr>
                      <w:sz w:val="18"/>
                      <w:szCs w:val="18"/>
                    </w:rPr>
                    <w:t>1,0  %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B34721" w14:textId="77777777" w:rsidR="00DE1309" w:rsidRPr="002460E2" w:rsidRDefault="00DE1309" w:rsidP="00DE1309">
                  <w:pPr>
                    <w:rPr>
                      <w:sz w:val="18"/>
                      <w:szCs w:val="18"/>
                    </w:rPr>
                  </w:pPr>
                  <w:r w:rsidRPr="002460E2">
                    <w:rPr>
                      <w:sz w:val="18"/>
                      <w:szCs w:val="18"/>
                    </w:rPr>
                    <w:t>4,0  %</w:t>
                  </w:r>
                </w:p>
              </w:tc>
            </w:tr>
            <w:tr w:rsidR="00DE1309" w:rsidRPr="002460E2" w14:paraId="38917CB8" w14:textId="77777777" w:rsidTr="000E21FB">
              <w:trPr>
                <w:trHeight w:val="87"/>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D3761C" w14:textId="77777777" w:rsidR="00DE1309" w:rsidRPr="002460E2" w:rsidRDefault="00DE1309" w:rsidP="00DE1309">
                  <w:pPr>
                    <w:rPr>
                      <w:sz w:val="18"/>
                      <w:szCs w:val="18"/>
                      <w:lang w:val="en-US"/>
                    </w:rPr>
                  </w:pPr>
                  <w:r w:rsidRPr="002460E2">
                    <w:rPr>
                      <w:sz w:val="18"/>
                      <w:szCs w:val="18"/>
                      <w:lang w:val="en-US"/>
                    </w:rPr>
                    <w:t>Entități din sectorul financiar, inclusiv instituții de credit înregistrate sau înființate de o administrație centrală, o administrație regională sau o autoritate locală și creditori promoționali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66F088" w14:textId="77777777" w:rsidR="00DE1309" w:rsidRPr="002460E2" w:rsidRDefault="00DE1309" w:rsidP="00DE1309">
                  <w:pPr>
                    <w:rPr>
                      <w:sz w:val="18"/>
                      <w:szCs w:val="18"/>
                    </w:rPr>
                  </w:pPr>
                  <w:r w:rsidRPr="002460E2">
                    <w:rPr>
                      <w:sz w:val="18"/>
                      <w:szCs w:val="18"/>
                    </w:rPr>
                    <w:t>5,0  %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265B82" w14:textId="77777777" w:rsidR="00DE1309" w:rsidRPr="002460E2" w:rsidRDefault="00DE1309" w:rsidP="00DE1309">
                  <w:pPr>
                    <w:rPr>
                      <w:sz w:val="18"/>
                      <w:szCs w:val="18"/>
                    </w:rPr>
                  </w:pPr>
                  <w:r w:rsidRPr="002460E2">
                    <w:rPr>
                      <w:sz w:val="18"/>
                      <w:szCs w:val="18"/>
                    </w:rPr>
                    <w:t>12,0  %</w:t>
                  </w:r>
                </w:p>
              </w:tc>
            </w:tr>
            <w:tr w:rsidR="00DE1309" w:rsidRPr="002460E2" w14:paraId="759E9FF9" w14:textId="77777777" w:rsidTr="000E21FB">
              <w:trPr>
                <w:trHeight w:val="57"/>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6A674D" w14:textId="77777777" w:rsidR="00DE1309" w:rsidRPr="002460E2" w:rsidRDefault="00DE1309" w:rsidP="00DE1309">
                  <w:pPr>
                    <w:rPr>
                      <w:sz w:val="18"/>
                      <w:szCs w:val="18"/>
                      <w:lang w:val="en-US"/>
                    </w:rPr>
                  </w:pPr>
                  <w:r w:rsidRPr="002460E2">
                    <w:rPr>
                      <w:sz w:val="18"/>
                      <w:szCs w:val="18"/>
                      <w:lang w:val="en-US"/>
                    </w:rPr>
                    <w:t xml:space="preserve">Materiale de bază, energie, produse industriale, agricultură, industria </w:t>
                  </w:r>
                  <w:r w:rsidRPr="002460E2">
                    <w:rPr>
                      <w:sz w:val="18"/>
                      <w:szCs w:val="18"/>
                      <w:lang w:val="en-US"/>
                    </w:rPr>
                    <w:lastRenderedPageBreak/>
                    <w:t>prelucrătoare, industria extractivă</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09C140" w14:textId="77777777" w:rsidR="00DE1309" w:rsidRPr="002460E2" w:rsidRDefault="00DE1309" w:rsidP="00DE1309">
                  <w:pPr>
                    <w:rPr>
                      <w:sz w:val="18"/>
                      <w:szCs w:val="18"/>
                    </w:rPr>
                  </w:pPr>
                  <w:r w:rsidRPr="002460E2">
                    <w:rPr>
                      <w:sz w:val="18"/>
                      <w:szCs w:val="18"/>
                    </w:rPr>
                    <w:lastRenderedPageBreak/>
                    <w:t>3,0  %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478AA5" w14:textId="77777777" w:rsidR="00DE1309" w:rsidRPr="002460E2" w:rsidRDefault="00DE1309" w:rsidP="00DE1309">
                  <w:pPr>
                    <w:rPr>
                      <w:sz w:val="18"/>
                      <w:szCs w:val="18"/>
                    </w:rPr>
                  </w:pPr>
                  <w:r w:rsidRPr="002460E2">
                    <w:rPr>
                      <w:sz w:val="18"/>
                      <w:szCs w:val="18"/>
                    </w:rPr>
                    <w:t>7,0  %</w:t>
                  </w:r>
                </w:p>
              </w:tc>
            </w:tr>
            <w:tr w:rsidR="00DE1309" w:rsidRPr="002460E2" w14:paraId="447BC87E" w14:textId="77777777" w:rsidTr="000E21FB">
              <w:trPr>
                <w:trHeight w:val="58"/>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C10F6" w14:textId="77777777" w:rsidR="00DE1309" w:rsidRPr="002460E2" w:rsidRDefault="00DE1309" w:rsidP="00DE1309">
                  <w:pPr>
                    <w:rPr>
                      <w:sz w:val="18"/>
                      <w:szCs w:val="18"/>
                      <w:lang w:val="en-US"/>
                    </w:rPr>
                  </w:pPr>
                  <w:r w:rsidRPr="002460E2">
                    <w:rPr>
                      <w:sz w:val="18"/>
                      <w:szCs w:val="18"/>
                      <w:lang w:val="en-US"/>
                    </w:rPr>
                    <w:t>Bunuri și servicii pentru consumatori, transport și depozitare, servicii administrative și activități de sprijin</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D390CD" w14:textId="77777777" w:rsidR="00DE1309" w:rsidRPr="002460E2" w:rsidRDefault="00DE1309" w:rsidP="00DE1309">
                  <w:pPr>
                    <w:rPr>
                      <w:sz w:val="18"/>
                      <w:szCs w:val="18"/>
                    </w:rPr>
                  </w:pPr>
                  <w:r w:rsidRPr="002460E2">
                    <w:rPr>
                      <w:sz w:val="18"/>
                      <w:szCs w:val="18"/>
                    </w:rPr>
                    <w:t>3,0  %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66BD60" w14:textId="77777777" w:rsidR="00DE1309" w:rsidRPr="002460E2" w:rsidRDefault="00DE1309" w:rsidP="00DE1309">
                  <w:pPr>
                    <w:rPr>
                      <w:sz w:val="18"/>
                      <w:szCs w:val="18"/>
                    </w:rPr>
                  </w:pPr>
                  <w:r w:rsidRPr="002460E2">
                    <w:rPr>
                      <w:sz w:val="18"/>
                      <w:szCs w:val="18"/>
                    </w:rPr>
                    <w:t>8,5  %</w:t>
                  </w:r>
                </w:p>
              </w:tc>
            </w:tr>
            <w:tr w:rsidR="00DE1309" w:rsidRPr="002460E2" w14:paraId="043F6032" w14:textId="77777777" w:rsidTr="000E21FB">
              <w:trPr>
                <w:trHeight w:val="30"/>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C76197" w14:textId="77777777" w:rsidR="00DE1309" w:rsidRPr="002460E2" w:rsidRDefault="00DE1309" w:rsidP="00DE1309">
                  <w:pPr>
                    <w:rPr>
                      <w:sz w:val="18"/>
                      <w:szCs w:val="18"/>
                    </w:rPr>
                  </w:pPr>
                  <w:r w:rsidRPr="002460E2">
                    <w:rPr>
                      <w:sz w:val="18"/>
                      <w:szCs w:val="18"/>
                    </w:rPr>
                    <w:t>Tehnologie, telecomunicații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F7B334" w14:textId="77777777" w:rsidR="00DE1309" w:rsidRPr="002460E2" w:rsidRDefault="00DE1309" w:rsidP="00DE1309">
                  <w:pPr>
                    <w:rPr>
                      <w:sz w:val="18"/>
                      <w:szCs w:val="18"/>
                    </w:rPr>
                  </w:pPr>
                  <w:r w:rsidRPr="002460E2">
                    <w:rPr>
                      <w:sz w:val="18"/>
                      <w:szCs w:val="18"/>
                    </w:rPr>
                    <w:t>2,0  %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A28118" w14:textId="77777777" w:rsidR="00DE1309" w:rsidRPr="002460E2" w:rsidRDefault="00DE1309" w:rsidP="00DE1309">
                  <w:pPr>
                    <w:rPr>
                      <w:sz w:val="18"/>
                      <w:szCs w:val="18"/>
                    </w:rPr>
                  </w:pPr>
                  <w:r w:rsidRPr="002460E2">
                    <w:rPr>
                      <w:sz w:val="18"/>
                      <w:szCs w:val="18"/>
                    </w:rPr>
                    <w:t>5,5  %</w:t>
                  </w:r>
                </w:p>
              </w:tc>
            </w:tr>
            <w:tr w:rsidR="00DE1309" w:rsidRPr="002460E2" w14:paraId="71E18F5C" w14:textId="77777777" w:rsidTr="000E21FB">
              <w:trPr>
                <w:trHeight w:val="44"/>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5A15EA" w14:textId="77777777" w:rsidR="00DE1309" w:rsidRPr="002460E2" w:rsidRDefault="00DE1309" w:rsidP="00DE1309">
                  <w:pPr>
                    <w:rPr>
                      <w:sz w:val="18"/>
                      <w:szCs w:val="18"/>
                      <w:lang w:val="en-US"/>
                    </w:rPr>
                  </w:pPr>
                  <w:r w:rsidRPr="002460E2">
                    <w:rPr>
                      <w:sz w:val="18"/>
                      <w:szCs w:val="18"/>
                      <w:lang w:val="en-US"/>
                    </w:rPr>
                    <w:t>Asistență medicală, utilități, activități profesionale și tehnice</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076AE1" w14:textId="77777777" w:rsidR="00DE1309" w:rsidRPr="002460E2" w:rsidRDefault="00DE1309" w:rsidP="00DE1309">
                  <w:pPr>
                    <w:rPr>
                      <w:sz w:val="18"/>
                      <w:szCs w:val="18"/>
                    </w:rPr>
                  </w:pPr>
                  <w:r w:rsidRPr="002460E2">
                    <w:rPr>
                      <w:sz w:val="18"/>
                      <w:szCs w:val="18"/>
                    </w:rPr>
                    <w:t>1,5  %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9C0E69" w14:textId="77777777" w:rsidR="00DE1309" w:rsidRPr="002460E2" w:rsidRDefault="00DE1309" w:rsidP="00DE1309">
                  <w:pPr>
                    <w:rPr>
                      <w:sz w:val="18"/>
                      <w:szCs w:val="18"/>
                    </w:rPr>
                  </w:pPr>
                  <w:r w:rsidRPr="002460E2">
                    <w:rPr>
                      <w:sz w:val="18"/>
                      <w:szCs w:val="18"/>
                    </w:rPr>
                    <w:t>5,0  %</w:t>
                  </w:r>
                </w:p>
              </w:tc>
            </w:tr>
            <w:tr w:rsidR="00DE1309" w:rsidRPr="002460E2" w14:paraId="1F459C59" w14:textId="77777777" w:rsidTr="000E21FB">
              <w:trPr>
                <w:trHeight w:val="30"/>
                <w:jc w:val="center"/>
              </w:trPr>
              <w:tc>
                <w:tcPr>
                  <w:tcW w:w="2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45A59E" w14:textId="77777777" w:rsidR="00DE1309" w:rsidRPr="002460E2" w:rsidRDefault="00DE1309" w:rsidP="00DE1309">
                  <w:pPr>
                    <w:rPr>
                      <w:sz w:val="18"/>
                      <w:szCs w:val="18"/>
                    </w:rPr>
                  </w:pPr>
                  <w:r w:rsidRPr="002460E2">
                    <w:rPr>
                      <w:sz w:val="18"/>
                      <w:szCs w:val="18"/>
                    </w:rPr>
                    <w:t>Alt sector</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EF9F81" w14:textId="77777777" w:rsidR="00DE1309" w:rsidRPr="002460E2" w:rsidRDefault="00DE1309" w:rsidP="00DE1309">
                  <w:pPr>
                    <w:rPr>
                      <w:sz w:val="18"/>
                      <w:szCs w:val="18"/>
                    </w:rPr>
                  </w:pPr>
                  <w:r w:rsidRPr="002460E2">
                    <w:rPr>
                      <w:sz w:val="18"/>
                      <w:szCs w:val="18"/>
                    </w:rPr>
                    <w:t>5,0  %</w:t>
                  </w:r>
                </w:p>
              </w:tc>
              <w:tc>
                <w:tcPr>
                  <w:tcW w:w="9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C6CA25" w14:textId="77777777" w:rsidR="00DE1309" w:rsidRPr="002460E2" w:rsidRDefault="00DE1309" w:rsidP="00DE1309">
                  <w:pPr>
                    <w:rPr>
                      <w:sz w:val="18"/>
                      <w:szCs w:val="18"/>
                    </w:rPr>
                  </w:pPr>
                  <w:r w:rsidRPr="002460E2">
                    <w:rPr>
                      <w:sz w:val="18"/>
                      <w:szCs w:val="18"/>
                    </w:rPr>
                    <w:t>12,0  %</w:t>
                  </w:r>
                </w:p>
              </w:tc>
            </w:tr>
          </w:tbl>
          <w:p w14:paraId="6565B679" w14:textId="77777777" w:rsidR="00DE1309" w:rsidRPr="002460E2" w:rsidRDefault="00DE1309" w:rsidP="00DE1309">
            <w:pPr>
              <w:rPr>
                <w:sz w:val="18"/>
                <w:szCs w:val="18"/>
                <w:lang w:val="en-US"/>
              </w:rPr>
            </w:pPr>
          </w:p>
          <w:p w14:paraId="118303C3" w14:textId="77777777" w:rsidR="00DE1309" w:rsidRPr="002460E2" w:rsidRDefault="00DE1309" w:rsidP="00DE1309">
            <w:pPr>
              <w:rPr>
                <w:sz w:val="18"/>
                <w:szCs w:val="18"/>
                <w:lang w:val="en-US"/>
              </w:rPr>
            </w:pPr>
          </w:p>
          <w:p w14:paraId="681F8FB7" w14:textId="3732CE81" w:rsidR="00DE1309" w:rsidRPr="002460E2" w:rsidRDefault="00DE1309" w:rsidP="00DE1309">
            <w:pPr>
              <w:jc w:val="center"/>
              <w:rPr>
                <w:i/>
                <w:iCs/>
                <w:sz w:val="18"/>
                <w:szCs w:val="18"/>
                <w:lang w:val="en-US"/>
              </w:rPr>
            </w:pPr>
            <w:r w:rsidRPr="002460E2">
              <w:rPr>
                <w:i/>
                <w:iCs/>
                <w:sz w:val="18"/>
                <w:szCs w:val="18"/>
                <w:lang w:val="en-US"/>
              </w:rPr>
              <w:t>Tabelul 2</w:t>
            </w:r>
          </w:p>
          <w:p w14:paraId="48D1319D" w14:textId="77777777" w:rsidR="00DE1309" w:rsidRPr="002460E2" w:rsidRDefault="00DE1309" w:rsidP="00DE1309">
            <w:pPr>
              <w:jc w:val="center"/>
              <w:rPr>
                <w:i/>
                <w:iCs/>
                <w:sz w:val="18"/>
                <w:szCs w:val="18"/>
                <w:lang w:val="en-US"/>
              </w:rPr>
            </w:pPr>
          </w:p>
          <w:tbl>
            <w:tblPr>
              <w:tblW w:w="3774"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942"/>
              <w:gridCol w:w="832"/>
            </w:tblGrid>
            <w:tr w:rsidR="00DE1309" w:rsidRPr="002460E2" w14:paraId="6A3AD21F" w14:textId="77777777" w:rsidTr="00440B8E">
              <w:trPr>
                <w:trHeight w:val="352"/>
                <w:jc w:val="center"/>
              </w:trPr>
              <w:tc>
                <w:tcPr>
                  <w:tcW w:w="3774"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4A6614" w14:textId="77777777" w:rsidR="00DE1309" w:rsidRPr="002460E2" w:rsidRDefault="00DE1309" w:rsidP="00DE1309">
                  <w:pPr>
                    <w:rPr>
                      <w:sz w:val="18"/>
                      <w:szCs w:val="18"/>
                      <w:lang w:val="en-US"/>
                    </w:rPr>
                  </w:pPr>
                  <w:r w:rsidRPr="002460E2">
                    <w:rPr>
                      <w:sz w:val="18"/>
                      <w:szCs w:val="18"/>
                      <w:lang w:val="en-US"/>
                    </w:rPr>
                    <w:t>Corelațiile dintre marja de credit a contrapărții și acoperirea având la bază o singură semnătură</w:t>
                  </w:r>
                </w:p>
              </w:tc>
            </w:tr>
            <w:tr w:rsidR="00DE1309" w:rsidRPr="002460E2" w14:paraId="11AA1E6E" w14:textId="77777777" w:rsidTr="00440B8E">
              <w:trPr>
                <w:trHeight w:val="352"/>
                <w:jc w:val="center"/>
              </w:trPr>
              <w:tc>
                <w:tcPr>
                  <w:tcW w:w="2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9BECB0" w14:textId="77777777" w:rsidR="00DE1309" w:rsidRPr="002460E2" w:rsidRDefault="00DE1309" w:rsidP="00DE1309">
                  <w:pPr>
                    <w:rPr>
                      <w:sz w:val="18"/>
                      <w:szCs w:val="18"/>
                      <w:lang w:val="en-US"/>
                    </w:rPr>
                  </w:pPr>
                  <w:r w:rsidRPr="002460E2">
                    <w:rPr>
                      <w:sz w:val="18"/>
                      <w:szCs w:val="18"/>
                      <w:lang w:val="en-US"/>
                    </w:rPr>
                    <w:t>Acoperirea având la bază o singură semnătură h a contrapărții i</w:t>
                  </w:r>
                </w:p>
              </w:tc>
              <w:tc>
                <w:tcPr>
                  <w:tcW w:w="8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D41EB1" w14:textId="77777777" w:rsidR="00DE1309" w:rsidRPr="002460E2" w:rsidRDefault="00DE1309" w:rsidP="00DE1309">
                  <w:pPr>
                    <w:rPr>
                      <w:sz w:val="18"/>
                      <w:szCs w:val="18"/>
                    </w:rPr>
                  </w:pPr>
                  <w:r w:rsidRPr="002460E2">
                    <w:rPr>
                      <w:sz w:val="18"/>
                      <w:szCs w:val="18"/>
                    </w:rPr>
                    <w:t>Valoarea r</w:t>
                  </w:r>
                  <w:r w:rsidRPr="002460E2">
                    <w:rPr>
                      <w:sz w:val="18"/>
                      <w:szCs w:val="18"/>
                      <w:vertAlign w:val="subscript"/>
                    </w:rPr>
                    <w:t>hc</w:t>
                  </w:r>
                </w:p>
              </w:tc>
            </w:tr>
            <w:tr w:rsidR="00DE1309" w:rsidRPr="002460E2" w14:paraId="60FAAED6" w14:textId="77777777" w:rsidTr="00440B8E">
              <w:trPr>
                <w:trHeight w:val="344"/>
                <w:jc w:val="center"/>
              </w:trPr>
              <w:tc>
                <w:tcPr>
                  <w:tcW w:w="2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5E294B" w14:textId="77777777" w:rsidR="00DE1309" w:rsidRPr="002460E2" w:rsidRDefault="00DE1309" w:rsidP="00DE1309">
                  <w:pPr>
                    <w:rPr>
                      <w:sz w:val="18"/>
                      <w:szCs w:val="18"/>
                      <w:lang w:val="en-US"/>
                    </w:rPr>
                  </w:pPr>
                  <w:r w:rsidRPr="002460E2">
                    <w:rPr>
                      <w:sz w:val="18"/>
                      <w:szCs w:val="18"/>
                      <w:lang w:val="en-US"/>
                    </w:rPr>
                    <w:t>Contrapărțile menționate la articolul 386 alineatul (3) litera (a) punctul (i)</w:t>
                  </w:r>
                </w:p>
              </w:tc>
              <w:tc>
                <w:tcPr>
                  <w:tcW w:w="8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62F917" w14:textId="77777777" w:rsidR="00DE1309" w:rsidRPr="002460E2" w:rsidRDefault="00DE1309" w:rsidP="00DE1309">
                  <w:pPr>
                    <w:rPr>
                      <w:sz w:val="18"/>
                      <w:szCs w:val="18"/>
                    </w:rPr>
                  </w:pPr>
                  <w:r w:rsidRPr="002460E2">
                    <w:rPr>
                      <w:sz w:val="18"/>
                      <w:szCs w:val="18"/>
                    </w:rPr>
                    <w:t>100 %</w:t>
                  </w:r>
                </w:p>
              </w:tc>
            </w:tr>
            <w:tr w:rsidR="00DE1309" w:rsidRPr="002460E2" w14:paraId="0E2F4FE7" w14:textId="77777777" w:rsidTr="00440B8E">
              <w:trPr>
                <w:trHeight w:val="352"/>
                <w:jc w:val="center"/>
              </w:trPr>
              <w:tc>
                <w:tcPr>
                  <w:tcW w:w="2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122C86" w14:textId="77777777" w:rsidR="00DE1309" w:rsidRPr="002460E2" w:rsidRDefault="00DE1309" w:rsidP="00DE1309">
                  <w:pPr>
                    <w:rPr>
                      <w:sz w:val="18"/>
                      <w:szCs w:val="18"/>
                      <w:lang w:val="en-US"/>
                    </w:rPr>
                  </w:pPr>
                  <w:r w:rsidRPr="002460E2">
                    <w:rPr>
                      <w:sz w:val="18"/>
                      <w:szCs w:val="18"/>
                      <w:lang w:val="en-US"/>
                    </w:rPr>
                    <w:t>Contrapărțile menționate la articolul 386 alineatul (3) litera (a) punctul (ii)</w:t>
                  </w:r>
                </w:p>
              </w:tc>
              <w:tc>
                <w:tcPr>
                  <w:tcW w:w="8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42CFEC" w14:textId="77777777" w:rsidR="00DE1309" w:rsidRPr="002460E2" w:rsidRDefault="00DE1309" w:rsidP="00DE1309">
                  <w:pPr>
                    <w:rPr>
                      <w:sz w:val="18"/>
                      <w:szCs w:val="18"/>
                    </w:rPr>
                  </w:pPr>
                  <w:r w:rsidRPr="002460E2">
                    <w:rPr>
                      <w:sz w:val="18"/>
                      <w:szCs w:val="18"/>
                    </w:rPr>
                    <w:t>80 %</w:t>
                  </w:r>
                </w:p>
              </w:tc>
            </w:tr>
            <w:tr w:rsidR="00DE1309" w:rsidRPr="002460E2" w14:paraId="4D66A049" w14:textId="77777777" w:rsidTr="00440B8E">
              <w:trPr>
                <w:trHeight w:val="352"/>
                <w:jc w:val="center"/>
              </w:trPr>
              <w:tc>
                <w:tcPr>
                  <w:tcW w:w="2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19091D" w14:textId="77777777" w:rsidR="00DE1309" w:rsidRPr="002460E2" w:rsidRDefault="00DE1309" w:rsidP="00DE1309">
                  <w:pPr>
                    <w:rPr>
                      <w:sz w:val="18"/>
                      <w:szCs w:val="18"/>
                      <w:lang w:val="en-US"/>
                    </w:rPr>
                  </w:pPr>
                  <w:r w:rsidRPr="002460E2">
                    <w:rPr>
                      <w:sz w:val="18"/>
                      <w:szCs w:val="18"/>
                      <w:lang w:val="en-US"/>
                    </w:rPr>
                    <w:t>Contrapărțile menționate la articolul 386 alineatul (3) litera (a) punctul (iii)</w:t>
                  </w:r>
                </w:p>
              </w:tc>
              <w:tc>
                <w:tcPr>
                  <w:tcW w:w="8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7F8038" w14:textId="77777777" w:rsidR="00DE1309" w:rsidRPr="002460E2" w:rsidRDefault="00DE1309" w:rsidP="00DE1309">
                  <w:pPr>
                    <w:rPr>
                      <w:sz w:val="18"/>
                      <w:szCs w:val="18"/>
                    </w:rPr>
                  </w:pPr>
                  <w:r w:rsidRPr="002460E2">
                    <w:rPr>
                      <w:sz w:val="18"/>
                      <w:szCs w:val="18"/>
                    </w:rPr>
                    <w:t>50 %</w:t>
                  </w:r>
                </w:p>
              </w:tc>
            </w:tr>
          </w:tbl>
          <w:p w14:paraId="09038835" w14:textId="77777777" w:rsidR="00DE1309" w:rsidRPr="002460E2" w:rsidRDefault="00DE1309" w:rsidP="00DE1309">
            <w:pPr>
              <w:jc w:val="center"/>
              <w:rPr>
                <w:i/>
                <w:iCs/>
                <w:sz w:val="18"/>
                <w:szCs w:val="18"/>
                <w:lang w:val="en-US"/>
              </w:rPr>
            </w:pPr>
          </w:p>
          <w:p w14:paraId="751B61E3" w14:textId="77777777" w:rsidR="00DE1309" w:rsidRPr="002460E2" w:rsidRDefault="00DE1309" w:rsidP="00DE1309">
            <w:pPr>
              <w:rPr>
                <w:sz w:val="18"/>
                <w:szCs w:val="18"/>
                <w:lang w:val="en-US"/>
              </w:rPr>
            </w:pPr>
          </w:p>
        </w:tc>
        <w:tc>
          <w:tcPr>
            <w:tcW w:w="3685" w:type="dxa"/>
            <w:shd w:val="clear" w:color="auto" w:fill="auto"/>
          </w:tcPr>
          <w:p w14:paraId="283FA617" w14:textId="77777777" w:rsidR="00B62813" w:rsidRPr="00B62813" w:rsidRDefault="00B62813" w:rsidP="00B62813">
            <w:pPr>
              <w:spacing w:line="259" w:lineRule="auto"/>
              <w:jc w:val="both"/>
              <w:rPr>
                <w:rFonts w:eastAsiaTheme="minorHAnsi"/>
                <w:sz w:val="18"/>
                <w:szCs w:val="18"/>
                <w:lang w:val="it-IT" w:eastAsia="en-US"/>
              </w:rPr>
            </w:pPr>
            <w:r w:rsidRPr="00B62813">
              <w:rPr>
                <w:rFonts w:eastAsiaTheme="minorHAnsi"/>
                <w:sz w:val="18"/>
                <w:szCs w:val="18"/>
                <w:lang w:val="it-IT" w:eastAsia="en-US"/>
              </w:rPr>
              <w:lastRenderedPageBreak/>
              <w:t>114. Banca care îndeplinește condiția menționată la subpunctul 113.1. calculează cerințele de fonduri proprii pentru riscul CVA după cum urmează:</w:t>
            </w:r>
          </w:p>
          <w:p w14:paraId="6F6D41C1" w14:textId="77777777" w:rsidR="00B62813" w:rsidRPr="002460E2" w:rsidRDefault="00B62813" w:rsidP="00B62813">
            <w:pPr>
              <w:spacing w:line="259" w:lineRule="auto"/>
              <w:jc w:val="both"/>
              <w:rPr>
                <w:rFonts w:eastAsiaTheme="minorHAnsi"/>
                <w:sz w:val="18"/>
                <w:szCs w:val="18"/>
                <w:lang w:val="it-IT" w:eastAsia="en-US"/>
              </w:rPr>
            </w:pPr>
            <w:r w:rsidRPr="00B62813">
              <w:rPr>
                <w:rFonts w:eastAsiaTheme="minorHAnsi"/>
                <w:i/>
                <w:iCs/>
                <w:sz w:val="18"/>
                <w:szCs w:val="18"/>
                <w:lang w:val="it-IT" w:eastAsia="en-US"/>
              </w:rPr>
              <w:t>BACVA</w:t>
            </w:r>
            <w:r w:rsidRPr="00B62813">
              <w:rPr>
                <w:rFonts w:eastAsiaTheme="minorHAnsi"/>
                <w:i/>
                <w:iCs/>
                <w:sz w:val="18"/>
                <w:szCs w:val="18"/>
                <w:vertAlign w:val="superscript"/>
                <w:lang w:val="it-IT" w:eastAsia="en-US"/>
              </w:rPr>
              <w:t>total</w:t>
            </w:r>
            <w:r w:rsidRPr="00B62813">
              <w:rPr>
                <w:rFonts w:eastAsiaTheme="minorHAnsi"/>
                <w:i/>
                <w:iCs/>
                <w:sz w:val="18"/>
                <w:szCs w:val="18"/>
                <w:lang w:val="it-IT" w:eastAsia="en-US"/>
              </w:rPr>
              <w:t xml:space="preserve"> = </w:t>
            </w:r>
            <w:r w:rsidRPr="00B62813">
              <w:rPr>
                <w:rFonts w:eastAsiaTheme="minorHAnsi"/>
                <w:i/>
                <w:iCs/>
                <w:sz w:val="18"/>
                <w:szCs w:val="18"/>
                <w:lang w:val="en-US" w:eastAsia="en-US"/>
              </w:rPr>
              <w:t>β·</w:t>
            </w:r>
            <w:r w:rsidRPr="00B62813">
              <w:rPr>
                <w:rFonts w:eastAsiaTheme="minorHAnsi"/>
                <w:i/>
                <w:iCs/>
                <w:sz w:val="18"/>
                <w:szCs w:val="18"/>
                <w:lang w:val="it-IT" w:eastAsia="en-US"/>
              </w:rPr>
              <w:t>BACVA</w:t>
            </w:r>
            <w:r w:rsidRPr="00B62813">
              <w:rPr>
                <w:rFonts w:eastAsiaTheme="minorHAnsi"/>
                <w:i/>
                <w:iCs/>
                <w:sz w:val="18"/>
                <w:szCs w:val="18"/>
                <w:vertAlign w:val="superscript"/>
                <w:lang w:val="it-IT" w:eastAsia="en-US"/>
              </w:rPr>
              <w:t>csr-fărăacoperire</w:t>
            </w:r>
            <w:r w:rsidRPr="00B62813">
              <w:rPr>
                <w:rFonts w:eastAsiaTheme="minorHAnsi"/>
                <w:i/>
                <w:iCs/>
                <w:sz w:val="18"/>
                <w:szCs w:val="18"/>
                <w:lang w:val="it-IT" w:eastAsia="en-US"/>
              </w:rPr>
              <w:t> + DS</w:t>
            </w:r>
            <w:r w:rsidRPr="00B62813">
              <w:rPr>
                <w:rFonts w:eastAsiaTheme="minorHAnsi"/>
                <w:i/>
                <w:iCs/>
                <w:sz w:val="18"/>
                <w:szCs w:val="18"/>
                <w:vertAlign w:val="subscript"/>
                <w:lang w:val="it-IT" w:eastAsia="en-US"/>
              </w:rPr>
              <w:t>CVA</w:t>
            </w:r>
            <w:r w:rsidRPr="00B62813">
              <w:rPr>
                <w:rFonts w:eastAsiaTheme="minorHAnsi"/>
                <w:i/>
                <w:iCs/>
                <w:sz w:val="18"/>
                <w:szCs w:val="18"/>
                <w:lang w:val="it-IT" w:eastAsia="en-US"/>
              </w:rPr>
              <w:t> </w:t>
            </w:r>
            <w:r w:rsidRPr="00B62813">
              <w:rPr>
                <w:rFonts w:eastAsiaTheme="minorHAnsi"/>
                <w:i/>
                <w:iCs/>
                <w:sz w:val="18"/>
                <w:szCs w:val="18"/>
                <w:lang w:val="en-US" w:eastAsia="en-US"/>
              </w:rPr>
              <w:t>·</w:t>
            </w:r>
            <w:r w:rsidRPr="00B62813">
              <w:rPr>
                <w:rFonts w:eastAsiaTheme="minorHAnsi"/>
                <w:i/>
                <w:iCs/>
                <w:sz w:val="18"/>
                <w:szCs w:val="18"/>
                <w:lang w:val="it-IT" w:eastAsia="en-US"/>
              </w:rPr>
              <w:t xml:space="preserve"> (1 – </w:t>
            </w:r>
            <w:r w:rsidRPr="00B62813">
              <w:rPr>
                <w:rFonts w:eastAsiaTheme="minorHAnsi"/>
                <w:i/>
                <w:iCs/>
                <w:sz w:val="18"/>
                <w:szCs w:val="18"/>
                <w:lang w:val="en-US" w:eastAsia="en-US"/>
              </w:rPr>
              <w:t>β</w:t>
            </w:r>
            <w:r w:rsidRPr="00B62813">
              <w:rPr>
                <w:rFonts w:eastAsiaTheme="minorHAnsi"/>
                <w:i/>
                <w:iCs/>
                <w:sz w:val="18"/>
                <w:szCs w:val="18"/>
                <w:lang w:val="it-IT" w:eastAsia="en-US"/>
              </w:rPr>
              <w:t xml:space="preserve">) </w:t>
            </w:r>
            <w:r w:rsidRPr="00B62813">
              <w:rPr>
                <w:rFonts w:eastAsiaTheme="minorHAnsi"/>
                <w:i/>
                <w:iCs/>
                <w:sz w:val="18"/>
                <w:szCs w:val="18"/>
                <w:lang w:val="en-US" w:eastAsia="en-US"/>
              </w:rPr>
              <w:t>·</w:t>
            </w:r>
            <w:r w:rsidRPr="00B62813">
              <w:rPr>
                <w:rFonts w:eastAsiaTheme="minorHAnsi"/>
                <w:i/>
                <w:iCs/>
                <w:sz w:val="18"/>
                <w:szCs w:val="18"/>
                <w:lang w:val="it-IT" w:eastAsia="en-US"/>
              </w:rPr>
              <w:t xml:space="preserve"> BACVA</w:t>
            </w:r>
            <w:r w:rsidRPr="00B62813">
              <w:rPr>
                <w:rFonts w:eastAsiaTheme="minorHAnsi"/>
                <w:i/>
                <w:iCs/>
                <w:sz w:val="18"/>
                <w:szCs w:val="18"/>
                <w:vertAlign w:val="superscript"/>
                <w:lang w:val="it-IT" w:eastAsia="en-US"/>
              </w:rPr>
              <w:t>csr-cuacoperire</w:t>
            </w:r>
          </w:p>
          <w:p w14:paraId="4CC3C25A" w14:textId="5397538E" w:rsidR="00B62813" w:rsidRPr="00B62813" w:rsidRDefault="00B62813" w:rsidP="00B62813">
            <w:pPr>
              <w:spacing w:line="259" w:lineRule="auto"/>
              <w:jc w:val="both"/>
              <w:rPr>
                <w:rFonts w:eastAsiaTheme="minorHAnsi"/>
                <w:sz w:val="18"/>
                <w:szCs w:val="18"/>
                <w:lang w:val="it-IT" w:eastAsia="en-US"/>
              </w:rPr>
            </w:pPr>
            <w:r w:rsidRPr="00B62813">
              <w:rPr>
                <w:rFonts w:eastAsiaTheme="minorHAnsi"/>
                <w:sz w:val="18"/>
                <w:szCs w:val="18"/>
                <w:lang w:val="en-US" w:eastAsia="en-US"/>
              </w:rPr>
              <w:t>unde:</w:t>
            </w:r>
          </w:p>
          <w:tbl>
            <w:tblPr>
              <w:tblW w:w="5000" w:type="pct"/>
              <w:tblLayout w:type="fixed"/>
              <w:tblCellMar>
                <w:left w:w="0" w:type="dxa"/>
                <w:right w:w="0" w:type="dxa"/>
              </w:tblCellMar>
              <w:tblLook w:val="04A0" w:firstRow="1" w:lastRow="0" w:firstColumn="1" w:lastColumn="0" w:noHBand="0" w:noVBand="1"/>
            </w:tblPr>
            <w:tblGrid>
              <w:gridCol w:w="563"/>
              <w:gridCol w:w="2906"/>
            </w:tblGrid>
            <w:tr w:rsidR="00B62813" w:rsidRPr="00B62813" w14:paraId="50DBF20B" w14:textId="77777777" w:rsidTr="00E037ED">
              <w:tc>
                <w:tcPr>
                  <w:tcW w:w="1549" w:type="dxa"/>
                  <w:shd w:val="clear" w:color="auto" w:fill="auto"/>
                  <w:hideMark/>
                </w:tcPr>
                <w:p w14:paraId="0D03E093" w14:textId="77777777" w:rsidR="00B62813" w:rsidRPr="00B62813" w:rsidRDefault="00B62813" w:rsidP="00B62813">
                  <w:pPr>
                    <w:spacing w:line="259" w:lineRule="auto"/>
                    <w:jc w:val="both"/>
                    <w:rPr>
                      <w:rFonts w:eastAsiaTheme="minorHAnsi"/>
                      <w:sz w:val="18"/>
                      <w:szCs w:val="18"/>
                      <w:lang w:val="en-US" w:eastAsia="en-US"/>
                    </w:rPr>
                  </w:pPr>
                  <w:r w:rsidRPr="00B62813">
                    <w:rPr>
                      <w:rFonts w:eastAsiaTheme="minorHAnsi"/>
                      <w:i/>
                      <w:iCs/>
                      <w:sz w:val="18"/>
                      <w:szCs w:val="18"/>
                      <w:lang w:val="en-US" w:eastAsia="en-US"/>
                    </w:rPr>
                    <w:t>BACVA</w:t>
                  </w:r>
                  <w:r w:rsidRPr="00B62813">
                    <w:rPr>
                      <w:rFonts w:eastAsiaTheme="minorHAnsi"/>
                      <w:i/>
                      <w:iCs/>
                      <w:sz w:val="18"/>
                      <w:szCs w:val="18"/>
                      <w:vertAlign w:val="superscript"/>
                      <w:lang w:val="en-US" w:eastAsia="en-US"/>
                    </w:rPr>
                    <w:t>total</w:t>
                  </w:r>
                </w:p>
              </w:tc>
              <w:tc>
                <w:tcPr>
                  <w:tcW w:w="8139" w:type="dxa"/>
                  <w:shd w:val="clear" w:color="auto" w:fill="auto"/>
                  <w:hideMark/>
                </w:tcPr>
                <w:p w14:paraId="68CB0DC3"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 cerințele de fonduri proprii pentru riscul CVA conform abordării de bază;</w:t>
                  </w:r>
                </w:p>
              </w:tc>
            </w:tr>
          </w:tbl>
          <w:p w14:paraId="20E161AC" w14:textId="77777777" w:rsidR="00B62813" w:rsidRPr="00B62813" w:rsidRDefault="00B62813" w:rsidP="00B62813">
            <w:pPr>
              <w:spacing w:line="259" w:lineRule="auto"/>
              <w:ind w:firstLine="425"/>
              <w:jc w:val="both"/>
              <w:rPr>
                <w:rFonts w:eastAsiaTheme="minorHAnsi"/>
                <w:vanish/>
                <w:sz w:val="18"/>
                <w:szCs w:val="18"/>
                <w:lang w:val="en-US" w:eastAsia="en-US"/>
              </w:rPr>
            </w:pPr>
          </w:p>
          <w:tbl>
            <w:tblPr>
              <w:tblW w:w="5000" w:type="pct"/>
              <w:tblLayout w:type="fixed"/>
              <w:tblCellMar>
                <w:left w:w="0" w:type="dxa"/>
                <w:right w:w="0" w:type="dxa"/>
              </w:tblCellMar>
              <w:tblLook w:val="04A0" w:firstRow="1" w:lastRow="0" w:firstColumn="1" w:lastColumn="0" w:noHBand="0" w:noVBand="1"/>
            </w:tblPr>
            <w:tblGrid>
              <w:gridCol w:w="641"/>
              <w:gridCol w:w="2828"/>
            </w:tblGrid>
            <w:tr w:rsidR="00B62813" w:rsidRPr="00B62813" w14:paraId="712756AD" w14:textId="77777777" w:rsidTr="00E037ED">
              <w:tc>
                <w:tcPr>
                  <w:tcW w:w="1766" w:type="dxa"/>
                  <w:shd w:val="clear" w:color="auto" w:fill="auto"/>
                  <w:hideMark/>
                </w:tcPr>
                <w:p w14:paraId="016CB684" w14:textId="77777777" w:rsidR="00B62813" w:rsidRPr="00B62813" w:rsidRDefault="00B62813" w:rsidP="00B62813">
                  <w:pPr>
                    <w:spacing w:line="259" w:lineRule="auto"/>
                    <w:jc w:val="both"/>
                    <w:rPr>
                      <w:rFonts w:eastAsiaTheme="minorHAnsi"/>
                      <w:sz w:val="18"/>
                      <w:szCs w:val="18"/>
                      <w:lang w:val="en-US" w:eastAsia="en-US"/>
                    </w:rPr>
                  </w:pPr>
                  <w:r w:rsidRPr="00B62813">
                    <w:rPr>
                      <w:rFonts w:eastAsiaTheme="minorHAnsi"/>
                      <w:i/>
                      <w:iCs/>
                      <w:sz w:val="18"/>
                      <w:szCs w:val="18"/>
                      <w:lang w:val="en-US" w:eastAsia="en-US"/>
                    </w:rPr>
                    <w:t>BACVA</w:t>
                  </w:r>
                  <w:r w:rsidRPr="00B62813">
                    <w:rPr>
                      <w:rFonts w:eastAsiaTheme="minorHAnsi"/>
                      <w:i/>
                      <w:iCs/>
                      <w:sz w:val="18"/>
                      <w:szCs w:val="18"/>
                      <w:vertAlign w:val="superscript"/>
                      <w:lang w:val="en-US" w:eastAsia="en-US"/>
                    </w:rPr>
                    <w:t>csr-fărăacoperire</w:t>
                  </w:r>
                </w:p>
              </w:tc>
              <w:tc>
                <w:tcPr>
                  <w:tcW w:w="7922" w:type="dxa"/>
                  <w:shd w:val="clear" w:color="auto" w:fill="auto"/>
                  <w:hideMark/>
                </w:tcPr>
                <w:p w14:paraId="36006A75" w14:textId="77777777" w:rsidR="00B62813" w:rsidRPr="002460E2" w:rsidRDefault="00B62813" w:rsidP="00B62813">
                  <w:pPr>
                    <w:spacing w:line="259" w:lineRule="auto"/>
                    <w:ind w:firstLine="425"/>
                    <w:jc w:val="both"/>
                    <w:rPr>
                      <w:rFonts w:eastAsiaTheme="minorHAnsi"/>
                      <w:sz w:val="18"/>
                      <w:szCs w:val="18"/>
                      <w:lang w:val="en-US" w:eastAsia="en-US"/>
                    </w:rPr>
                  </w:pPr>
                  <w:r w:rsidRPr="00B62813">
                    <w:rPr>
                      <w:rFonts w:eastAsiaTheme="minorHAnsi"/>
                      <w:sz w:val="18"/>
                      <w:szCs w:val="18"/>
                      <w:lang w:val="en-US" w:eastAsia="en-US"/>
                    </w:rPr>
                    <w:t>= cerințele de fonduri proprii pentru riscul CVA conform abordării de bază, calculate în conformitate cu punctul 115 pentru banca care îndeplinește condiția prevăzută la subpunctul 113.2.;</w:t>
                  </w:r>
                </w:p>
                <w:p w14:paraId="3F422FD1" w14:textId="77777777" w:rsidR="00E30831" w:rsidRPr="002460E2" w:rsidRDefault="00E30831" w:rsidP="00E30831">
                  <w:pPr>
                    <w:spacing w:line="259" w:lineRule="auto"/>
                    <w:ind w:firstLine="425"/>
                    <w:jc w:val="both"/>
                    <w:rPr>
                      <w:rFonts w:eastAsiaTheme="minorHAnsi"/>
                      <w:sz w:val="18"/>
                      <w:szCs w:val="18"/>
                      <w:lang w:val="en-US" w:eastAsia="en-US"/>
                    </w:rPr>
                  </w:pPr>
                  <w:r w:rsidRPr="002460E2">
                    <w:rPr>
                      <w:rFonts w:eastAsiaTheme="minorHAnsi"/>
                      <w:sz w:val="18"/>
                      <w:szCs w:val="18"/>
                      <w:lang w:val="en-US" w:eastAsia="en-US"/>
                    </w:rPr>
                    <w:t>DSCVA</w:t>
                  </w:r>
                  <w:r w:rsidRPr="002460E2">
                    <w:rPr>
                      <w:rFonts w:eastAsiaTheme="minorHAnsi"/>
                      <w:sz w:val="18"/>
                      <w:szCs w:val="18"/>
                      <w:lang w:val="en-US" w:eastAsia="en-US"/>
                    </w:rPr>
                    <w:tab/>
                    <w:t>= 0,65 ;</w:t>
                  </w:r>
                </w:p>
                <w:p w14:paraId="42A28DD1" w14:textId="69313D44" w:rsidR="00E30831" w:rsidRPr="00B62813" w:rsidRDefault="00E30831" w:rsidP="00E30831">
                  <w:pPr>
                    <w:spacing w:line="259" w:lineRule="auto"/>
                    <w:ind w:firstLine="425"/>
                    <w:jc w:val="both"/>
                    <w:rPr>
                      <w:rFonts w:eastAsiaTheme="minorHAnsi"/>
                      <w:sz w:val="18"/>
                      <w:szCs w:val="18"/>
                      <w:lang w:val="en-US" w:eastAsia="en-US"/>
                    </w:rPr>
                  </w:pPr>
                  <w:r w:rsidRPr="002460E2">
                    <w:rPr>
                      <w:rFonts w:eastAsiaTheme="minorHAnsi"/>
                      <w:sz w:val="18"/>
                      <w:szCs w:val="18"/>
                      <w:lang w:val="en-US" w:eastAsia="en-US"/>
                    </w:rPr>
                    <w:t>β</w:t>
                  </w:r>
                  <w:r w:rsidRPr="002460E2">
                    <w:rPr>
                      <w:rFonts w:eastAsiaTheme="minorHAnsi"/>
                      <w:sz w:val="18"/>
                      <w:szCs w:val="18"/>
                      <w:lang w:val="en-US" w:eastAsia="en-US"/>
                    </w:rPr>
                    <w:tab/>
                    <w:t>= 0,25 ;</w:t>
                  </w:r>
                </w:p>
              </w:tc>
            </w:tr>
          </w:tbl>
          <w:p w14:paraId="0D3528A8"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62C5C2FE"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015BF18E" wp14:editId="6C044C0E">
                  <wp:extent cx="1863345" cy="344385"/>
                  <wp:effectExtent l="0" t="0" r="3810" b="0"/>
                  <wp:docPr id="158" name="Pictur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9627" cy="371421"/>
                          </a:xfrm>
                          <a:prstGeom prst="rect">
                            <a:avLst/>
                          </a:prstGeom>
                          <a:noFill/>
                          <a:ln>
                            <a:noFill/>
                          </a:ln>
                        </pic:spPr>
                      </pic:pic>
                    </a:graphicData>
                  </a:graphic>
                </wp:inline>
              </w:drawing>
            </w:r>
          </w:p>
          <w:p w14:paraId="57D6689B"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sz w:val="18"/>
                <w:szCs w:val="18"/>
                <w:lang w:val="en-US" w:eastAsia="en-US"/>
              </w:rPr>
              <w:t>unde:</w:t>
            </w:r>
          </w:p>
          <w:p w14:paraId="5777F672"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lastRenderedPageBreak/>
              <w:drawing>
                <wp:inline distT="0" distB="0" distL="0" distR="0" wp14:anchorId="410073EB" wp14:editId="0EAAEE32">
                  <wp:extent cx="1838534" cy="285008"/>
                  <wp:effectExtent l="0" t="0" r="0" b="1270"/>
                  <wp:docPr id="159" name="Pictur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93616" cy="293547"/>
                          </a:xfrm>
                          <a:prstGeom prst="rect">
                            <a:avLst/>
                          </a:prstGeom>
                          <a:noFill/>
                          <a:ln>
                            <a:noFill/>
                          </a:ln>
                        </pic:spPr>
                      </pic:pic>
                    </a:graphicData>
                  </a:graphic>
                </wp:inline>
              </w:drawing>
            </w:r>
          </w:p>
          <w:p w14:paraId="30366216"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4AD0B017" wp14:editId="50FD3B2F">
                  <wp:extent cx="1851174" cy="296883"/>
                  <wp:effectExtent l="0" t="0" r="0" b="8255"/>
                  <wp:docPr id="160" name="Pictur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30940" cy="309676"/>
                          </a:xfrm>
                          <a:prstGeom prst="rect">
                            <a:avLst/>
                          </a:prstGeom>
                          <a:noFill/>
                          <a:ln>
                            <a:noFill/>
                          </a:ln>
                        </pic:spPr>
                      </pic:pic>
                    </a:graphicData>
                  </a:graphic>
                </wp:inline>
              </w:drawing>
            </w:r>
          </w:p>
          <w:p w14:paraId="315DA455"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795A4F9F" wp14:editId="4815FD80">
                  <wp:extent cx="1955674" cy="356260"/>
                  <wp:effectExtent l="0" t="0" r="6985" b="5715"/>
                  <wp:docPr id="161" name="Pictur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25357" cy="368954"/>
                          </a:xfrm>
                          <a:prstGeom prst="rect">
                            <a:avLst/>
                          </a:prstGeom>
                          <a:noFill/>
                          <a:ln>
                            <a:noFill/>
                          </a:ln>
                        </pic:spPr>
                      </pic:pic>
                    </a:graphicData>
                  </a:graphic>
                </wp:inline>
              </w:drawing>
            </w:r>
          </w:p>
          <w:p w14:paraId="70762F83"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50CF898E" wp14:editId="11FF068A">
                  <wp:extent cx="1864426" cy="242172"/>
                  <wp:effectExtent l="0" t="0" r="2540" b="5715"/>
                  <wp:docPr id="162" name="Pictur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57418" cy="254251"/>
                          </a:xfrm>
                          <a:prstGeom prst="rect">
                            <a:avLst/>
                          </a:prstGeom>
                          <a:noFill/>
                          <a:ln>
                            <a:noFill/>
                          </a:ln>
                        </pic:spPr>
                      </pic:pic>
                    </a:graphicData>
                  </a:graphic>
                </wp:inline>
              </w:drawing>
            </w:r>
          </w:p>
          <w:p w14:paraId="01099E3E" w14:textId="77777777" w:rsidR="00B62813" w:rsidRPr="00B62813" w:rsidRDefault="00B62813" w:rsidP="00B62813">
            <w:pPr>
              <w:spacing w:line="259" w:lineRule="auto"/>
              <w:ind w:firstLine="425"/>
              <w:jc w:val="both"/>
              <w:rPr>
                <w:rFonts w:eastAsiaTheme="minorHAnsi"/>
                <w:i/>
                <w:iCs/>
                <w:sz w:val="18"/>
                <w:szCs w:val="18"/>
                <w:lang w:val="it-IT" w:eastAsia="en-US"/>
              </w:rPr>
            </w:pPr>
            <w:r w:rsidRPr="00B62813">
              <w:rPr>
                <w:rFonts w:eastAsiaTheme="minorHAnsi"/>
                <w:i/>
                <w:iCs/>
                <w:sz w:val="18"/>
                <w:szCs w:val="18"/>
                <w:lang w:val="it-IT" w:eastAsia="en-US"/>
              </w:rPr>
              <w:t>a = 1,4;</w:t>
            </w:r>
          </w:p>
          <w:p w14:paraId="6908687E"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i/>
                <w:iCs/>
                <w:sz w:val="18"/>
                <w:szCs w:val="18"/>
                <w:lang w:val="it-IT" w:eastAsia="en-US"/>
              </w:rPr>
              <w:t xml:space="preserve">p = </w:t>
            </w:r>
            <w:r w:rsidRPr="00B62813">
              <w:rPr>
                <w:rFonts w:eastAsiaTheme="minorHAnsi"/>
                <w:sz w:val="18"/>
                <w:szCs w:val="18"/>
                <w:lang w:val="it-IT" w:eastAsia="en-US"/>
              </w:rPr>
              <w:t>0,5;</w:t>
            </w:r>
          </w:p>
          <w:p w14:paraId="029D9DEB"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C = indicele care desemnează toate contrapărțile pentru care banca calculează cerințele de fonduri proprii pentru riscul CVA utilizând abordarea prevăzută la prezentul articol;</w:t>
            </w:r>
          </w:p>
          <w:p w14:paraId="73BFEDC6"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NS = indicele care desemnează toate seturile de compensare cu o anumită contraparte pentru care banca calculează cerințele de fonduri proprii pentru riscul CVA utilizând abordarea prevăzută la prezentul articol;</w:t>
            </w:r>
          </w:p>
          <w:p w14:paraId="2511C7FC"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H = indicele care desemnează toate instrumentele având la bază o singură semnătură recunoscute ca acoperiri eligibile în conformitate cu punctele 119-124 pentru o anumită contraparte pentru care banca calculează cerințele de fonduri proprii pentru riscul CVA utilizând abordarea prevăzută la prezentul articol;</w:t>
            </w:r>
          </w:p>
          <w:p w14:paraId="3631CD1D"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 xml:space="preserve">I = indicele care desemnează toate instrumentele-indice recunoscute ca acoperiri eligibile în conformitate cu punctele 119-124 pentru toate contrapărțile pentru care banca calculează cerințele de fonduri proprii pentru </w:t>
            </w:r>
            <w:r w:rsidRPr="00B62813">
              <w:rPr>
                <w:rFonts w:eastAsiaTheme="minorHAnsi"/>
                <w:sz w:val="18"/>
                <w:szCs w:val="18"/>
                <w:lang w:val="it-IT" w:eastAsia="en-US"/>
              </w:rPr>
              <w:lastRenderedPageBreak/>
              <w:t>riscul CVA utilizând abordarea prevăzută la prezentul articol;</w:t>
            </w:r>
          </w:p>
          <w:p w14:paraId="2F969EB6"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sz w:val="18"/>
                <w:szCs w:val="18"/>
                <w:lang w:val="it-IT" w:eastAsia="en-US"/>
              </w:rPr>
              <w:t>RW</w:t>
            </w:r>
            <w:r w:rsidRPr="00B62813">
              <w:rPr>
                <w:rFonts w:eastAsiaTheme="minorHAnsi"/>
                <w:sz w:val="18"/>
                <w:szCs w:val="18"/>
                <w:vertAlign w:val="subscript"/>
                <w:lang w:val="it-IT" w:eastAsia="en-US"/>
              </w:rPr>
              <w:t>c</w:t>
            </w:r>
            <w:r w:rsidRPr="00B62813">
              <w:rPr>
                <w:rFonts w:eastAsiaTheme="minorHAnsi"/>
                <w:sz w:val="18"/>
                <w:szCs w:val="18"/>
                <w:lang w:val="it-IT" w:eastAsia="en-US"/>
              </w:rPr>
              <w:t xml:space="preserve"> = ponderea de risc aplicabilă contrapărții </w:t>
            </w:r>
            <w:r w:rsidRPr="00B62813">
              <w:rPr>
                <w:rFonts w:eastAsiaTheme="minorHAnsi"/>
                <w:sz w:val="18"/>
                <w:szCs w:val="18"/>
                <w:lang w:val="ro-RO" w:eastAsia="en-US"/>
              </w:rPr>
              <w:t>„</w:t>
            </w:r>
            <w:r w:rsidRPr="00B62813">
              <w:rPr>
                <w:rFonts w:eastAsiaTheme="minorHAnsi"/>
                <w:sz w:val="18"/>
                <w:szCs w:val="18"/>
                <w:lang w:val="it-IT" w:eastAsia="en-US"/>
              </w:rPr>
              <w:t>c”; contrapartea c este pusă în corespondență cu una dintre ponderile de risc pe baza unei combinații între sector și calitatea creditului și se determină în conformitate cu tabelul 1.</w:t>
            </w:r>
          </w:p>
          <w:p w14:paraId="40538967"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5FCB13BA"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0CC0A236"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551BAAB6"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2170F1B1" w14:textId="77777777" w:rsidR="00B62813" w:rsidRPr="00B62813" w:rsidRDefault="00B62813" w:rsidP="00B62813">
            <w:pPr>
              <w:spacing w:line="259" w:lineRule="auto"/>
              <w:ind w:firstLine="425"/>
              <w:jc w:val="both"/>
              <w:rPr>
                <w:rFonts w:eastAsiaTheme="minorHAnsi"/>
                <w:vanish/>
                <w:sz w:val="18"/>
                <w:szCs w:val="18"/>
                <w:lang w:val="en-US" w:eastAsia="en-US"/>
              </w:rPr>
            </w:pPr>
          </w:p>
          <w:p w14:paraId="04F4EA85"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sz w:val="18"/>
                <w:szCs w:val="18"/>
                <w:lang w:val="en-US" w:eastAsia="en-US"/>
              </w:rPr>
              <w:t>În cazul în care nu există ratinguri externe pentru o anumită contraparte, băncile pot, sub rezerva aprobării de către Banca Națională a Moldovei,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p w14:paraId="42D5B447"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67A66A9B" wp14:editId="540B1448">
                  <wp:extent cx="361315" cy="276225"/>
                  <wp:effectExtent l="0" t="0" r="635" b="9525"/>
                  <wp:docPr id="163" name="Pictur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B62813">
              <w:rPr>
                <w:rFonts w:eastAsiaTheme="minorHAnsi"/>
                <w:sz w:val="18"/>
                <w:szCs w:val="18"/>
                <w:lang w:val="pt-BR" w:eastAsia="en-US"/>
              </w:rPr>
              <w:t>= scadența efectivă a setului de compensare NS cu contrapartea „c”;</w:t>
            </w:r>
          </w:p>
          <w:p w14:paraId="1B71D7F8"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noProof/>
                <w:sz w:val="18"/>
                <w:szCs w:val="18"/>
                <w:lang w:val="en-US" w:eastAsia="en-US"/>
              </w:rPr>
              <w:drawing>
                <wp:inline distT="0" distB="0" distL="0" distR="0" wp14:anchorId="2A2A3246" wp14:editId="68F32CD0">
                  <wp:extent cx="361315" cy="276225"/>
                  <wp:effectExtent l="0" t="0" r="635" b="9525"/>
                  <wp:docPr id="164" name="Pictur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B62813">
              <w:rPr>
                <w:rFonts w:eastAsiaTheme="minorHAnsi"/>
                <w:sz w:val="18"/>
                <w:szCs w:val="18"/>
                <w:lang w:val="it-IT" w:eastAsia="en-US"/>
              </w:rPr>
              <w:t>= se calculează în conformitate cu articolul 162 (abordarea IRB); cu toate acestea, pentru acest calcul, </w:t>
            </w:r>
            <w:r w:rsidRPr="00B62813">
              <w:rPr>
                <w:rFonts w:eastAsiaTheme="minorHAnsi"/>
                <w:noProof/>
                <w:sz w:val="18"/>
                <w:szCs w:val="18"/>
                <w:lang w:val="en-US" w:eastAsia="en-US"/>
              </w:rPr>
              <w:drawing>
                <wp:inline distT="0" distB="0" distL="0" distR="0" wp14:anchorId="78451438" wp14:editId="210C1E4D">
                  <wp:extent cx="361315" cy="276225"/>
                  <wp:effectExtent l="0" t="0" r="635" b="9525"/>
                  <wp:docPr id="165" name="Pictur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B62813">
              <w:rPr>
                <w:rFonts w:eastAsiaTheme="minorHAnsi"/>
                <w:sz w:val="18"/>
                <w:szCs w:val="18"/>
                <w:lang w:val="it-IT" w:eastAsia="en-US"/>
              </w:rPr>
              <w:t> nu este plafonată la cinci ani, ci la cea mai lungă scadență contractuală reziduală din setul de compensare;</w:t>
            </w:r>
          </w:p>
          <w:p w14:paraId="79770634" w14:textId="77777777" w:rsidR="00B62813" w:rsidRPr="00B62813" w:rsidRDefault="00B62813" w:rsidP="00B62813">
            <w:pPr>
              <w:spacing w:line="259" w:lineRule="auto"/>
              <w:ind w:firstLine="425"/>
              <w:jc w:val="both"/>
              <w:rPr>
                <w:rFonts w:eastAsiaTheme="minorHAnsi"/>
                <w:sz w:val="18"/>
                <w:szCs w:val="18"/>
                <w:lang w:val="it-IT" w:eastAsia="en-US"/>
              </w:rPr>
            </w:pPr>
            <w:r w:rsidRPr="00B62813">
              <w:rPr>
                <w:rFonts w:eastAsiaTheme="minorHAnsi"/>
                <w:noProof/>
                <w:sz w:val="18"/>
                <w:szCs w:val="18"/>
                <w:lang w:val="en-US" w:eastAsia="en-US"/>
              </w:rPr>
              <w:drawing>
                <wp:inline distT="0" distB="0" distL="0" distR="0" wp14:anchorId="78DC934F" wp14:editId="410C4193">
                  <wp:extent cx="595630" cy="276225"/>
                  <wp:effectExtent l="0" t="0" r="0" b="9525"/>
                  <wp:docPr id="166" name="Pictur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B62813">
              <w:rPr>
                <w:rFonts w:eastAsiaTheme="minorHAnsi"/>
                <w:sz w:val="18"/>
                <w:szCs w:val="18"/>
                <w:lang w:val="it-IT" w:eastAsia="en-US"/>
              </w:rPr>
              <w:t xml:space="preserve">= </w:t>
            </w:r>
            <w:bookmarkStart w:id="13" w:name="_Hlk197961116"/>
            <w:r w:rsidRPr="00B62813">
              <w:rPr>
                <w:rFonts w:eastAsiaTheme="minorHAnsi"/>
                <w:sz w:val="18"/>
                <w:szCs w:val="18"/>
                <w:lang w:val="it-IT" w:eastAsia="en-US"/>
              </w:rPr>
              <w:t xml:space="preserve">valoarea expunerii la riscul de credit al contrapărții a setului de compensare NS cu contrapartea „c”, inclusiv efectul </w:t>
            </w:r>
            <w:r w:rsidRPr="00B62813">
              <w:rPr>
                <w:rFonts w:eastAsiaTheme="minorHAnsi"/>
                <w:sz w:val="18"/>
                <w:szCs w:val="18"/>
                <w:lang w:val="it-IT" w:eastAsia="en-US"/>
              </w:rPr>
              <w:lastRenderedPageBreak/>
              <w:t xml:space="preserve">garanțiilor reale în conformitate cu metodele prevăzute în </w:t>
            </w:r>
            <w:bookmarkStart w:id="14" w:name="_Hlk199145805"/>
            <w:r w:rsidRPr="00B62813">
              <w:rPr>
                <w:rFonts w:eastAsiaTheme="minorHAnsi"/>
                <w:sz w:val="18"/>
                <w:szCs w:val="18"/>
                <w:lang w:val="ro-MD" w:eastAsia="en-US"/>
              </w:rPr>
              <w:t>Regulamentul nr.220/2025 cu privire la tratamentul riscului de credit al contrapărţii pentru bănci</w:t>
            </w:r>
            <w:bookmarkEnd w:id="14"/>
            <w:r w:rsidRPr="00B62813">
              <w:rPr>
                <w:rFonts w:eastAsiaTheme="minorHAnsi"/>
                <w:sz w:val="18"/>
                <w:szCs w:val="18"/>
                <w:lang w:val="it-IT" w:eastAsia="en-US"/>
              </w:rPr>
              <w:t xml:space="preserve">, astfel cum sunt aplicabile pentru calcularea cerințelor de fonduri proprii pentru riscul de credit al contrapărții menționată în prevederile reglementărilor </w:t>
            </w:r>
            <w:bookmarkStart w:id="15" w:name="_Hlk199161061"/>
            <w:r w:rsidRPr="00B62813">
              <w:rPr>
                <w:rFonts w:eastAsiaTheme="minorHAnsi"/>
                <w:sz w:val="18"/>
                <w:szCs w:val="18"/>
                <w:lang w:val="it-IT" w:eastAsia="en-US"/>
              </w:rPr>
              <w:t>aferente fondurilor proprii ale băncilor şi cerinţele de capital;</w:t>
            </w:r>
            <w:bookmarkEnd w:id="13"/>
            <w:bookmarkEnd w:id="15"/>
          </w:p>
          <w:p w14:paraId="6635F32C"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0E3C7242" wp14:editId="5990BF6A">
                  <wp:extent cx="457200" cy="276225"/>
                  <wp:effectExtent l="0" t="0" r="0" b="9525"/>
                  <wp:docPr id="167"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2813">
              <w:rPr>
                <w:rFonts w:eastAsiaTheme="minorHAnsi"/>
                <w:sz w:val="18"/>
                <w:szCs w:val="18"/>
                <w:lang w:val="pt-BR" w:eastAsia="en-US"/>
              </w:rPr>
              <w:t>= factorul de actualizare impus de autoritățile de supraveghere pentru setul de compensare NS cu contrapartea c.</w:t>
            </w:r>
          </w:p>
          <w:p w14:paraId="3EBEC99C"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sz w:val="18"/>
                <w:szCs w:val="18"/>
                <w:lang w:val="pt-BR" w:eastAsia="en-US"/>
              </w:rPr>
              <w:t>Pentru o bancă care utilizează metodele prevăzute în titlul II capitolul 6 secțiunea 6 (IRB – contrapartea), factorul de actualizare impus de autoritățile de supraveghere este stabilit la 1; în caz contrar factorul de actualizare impus de autoritățile de supraveghere se calculează după cum urmează:</w:t>
            </w:r>
          </w:p>
          <w:p w14:paraId="38492B5B"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26C7430D" wp14:editId="4564025E">
                  <wp:extent cx="1223010" cy="595630"/>
                  <wp:effectExtent l="0" t="0" r="0" b="0"/>
                  <wp:docPr id="168" name="Pictur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3010" cy="595630"/>
                          </a:xfrm>
                          <a:prstGeom prst="rect">
                            <a:avLst/>
                          </a:prstGeom>
                          <a:noFill/>
                          <a:ln>
                            <a:noFill/>
                          </a:ln>
                        </pic:spPr>
                      </pic:pic>
                    </a:graphicData>
                  </a:graphic>
                </wp:inline>
              </w:drawing>
            </w:r>
          </w:p>
          <w:p w14:paraId="6A11190C"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i/>
                <w:iCs/>
                <w:sz w:val="18"/>
                <w:szCs w:val="18"/>
                <w:lang w:val="en-US" w:eastAsia="en-US"/>
              </w:rPr>
              <w:t>r</w:t>
            </w:r>
            <w:r w:rsidRPr="00B62813">
              <w:rPr>
                <w:rFonts w:eastAsiaTheme="minorHAnsi"/>
                <w:i/>
                <w:iCs/>
                <w:sz w:val="18"/>
                <w:szCs w:val="18"/>
                <w:vertAlign w:val="subscript"/>
                <w:lang w:val="en-US" w:eastAsia="en-US"/>
              </w:rPr>
              <w:t>hc=</w:t>
            </w:r>
            <w:r w:rsidRPr="00B62813">
              <w:rPr>
                <w:rFonts w:eastAsiaTheme="minorHAnsi"/>
                <w:sz w:val="18"/>
                <w:szCs w:val="18"/>
                <w:lang w:val="en-US" w:eastAsia="en-US"/>
              </w:rPr>
              <w:t xml:space="preserve"> factorul de corelare impus de autoritățile de supraveghere, determinat în conformitate cu tabelul 2, între riscul de marjă de credit al contrapărții c și riscul de marjă de credit al unui instrument având la bază o singură semnătură recunoscut ca acoperire eligibilă h pentru contrapartea „c”;</w:t>
            </w:r>
          </w:p>
          <w:tbl>
            <w:tblPr>
              <w:tblW w:w="5000" w:type="pct"/>
              <w:tblLayout w:type="fixed"/>
              <w:tblCellMar>
                <w:left w:w="0" w:type="dxa"/>
                <w:right w:w="0" w:type="dxa"/>
              </w:tblCellMar>
              <w:tblLook w:val="04A0" w:firstRow="1" w:lastRow="0" w:firstColumn="1" w:lastColumn="0" w:noHBand="0" w:noVBand="1"/>
            </w:tblPr>
            <w:tblGrid>
              <w:gridCol w:w="3449"/>
              <w:gridCol w:w="20"/>
            </w:tblGrid>
            <w:tr w:rsidR="00B62813" w:rsidRPr="00B62813" w14:paraId="3D2F1156" w14:textId="77777777" w:rsidTr="00E037ED">
              <w:tc>
                <w:tcPr>
                  <w:tcW w:w="9682" w:type="dxa"/>
                  <w:shd w:val="clear" w:color="auto" w:fill="auto"/>
                  <w:hideMark/>
                </w:tcPr>
                <w:p w14:paraId="2CFADD24"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lastRenderedPageBreak/>
                    <w:drawing>
                      <wp:inline distT="0" distB="0" distL="0" distR="0" wp14:anchorId="28BBB647" wp14:editId="444C8B5F">
                        <wp:extent cx="359410" cy="2743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9410" cy="274320"/>
                                </a:xfrm>
                                <a:prstGeom prst="rect">
                                  <a:avLst/>
                                </a:prstGeom>
                                <a:noFill/>
                              </pic:spPr>
                            </pic:pic>
                          </a:graphicData>
                        </a:graphic>
                      </wp:inline>
                    </w:drawing>
                  </w:r>
                  <w:r w:rsidRPr="00B62813">
                    <w:rPr>
                      <w:rFonts w:eastAsiaTheme="minorHAnsi"/>
                      <w:sz w:val="18"/>
                      <w:szCs w:val="18"/>
                      <w:lang w:val="en-US" w:eastAsia="en-US"/>
                    </w:rPr>
                    <w:t>= scadența reziduală a unui instrument având la bază o singură semnătură recunoscut ca acoperire eligibilă;</w:t>
                  </w:r>
                </w:p>
                <w:p w14:paraId="2F028A9E"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478BA396" wp14:editId="530F96CB">
                        <wp:extent cx="318770" cy="276225"/>
                        <wp:effectExtent l="0" t="0" r="5080" b="9525"/>
                        <wp:docPr id="170" name="Pictur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rsidRPr="00B62813">
                    <w:rPr>
                      <w:rFonts w:eastAsiaTheme="minorHAnsi"/>
                      <w:sz w:val="18"/>
                      <w:szCs w:val="18"/>
                      <w:lang w:val="en-US" w:eastAsia="en-US"/>
                    </w:rPr>
                    <w:t>= valoarea noțională a unui instrument având la bază o singură semnătură recunoscut ca acoperire eligibilă;</w:t>
                  </w:r>
                </w:p>
                <w:p w14:paraId="0F8C8F64"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1818D9C4" wp14:editId="0C66FCE3">
                        <wp:extent cx="457200" cy="276225"/>
                        <wp:effectExtent l="0" t="0" r="0" b="9525"/>
                        <wp:docPr id="171"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2813">
                    <w:rPr>
                      <w:rFonts w:eastAsiaTheme="minorHAnsi"/>
                      <w:sz w:val="18"/>
                      <w:szCs w:val="18"/>
                      <w:lang w:val="en-US" w:eastAsia="en-US"/>
                    </w:rPr>
                    <w:t>= factorul de actualizare impus de autoritățile de supraveghere pentru un instrument având la bază o singură semnătură recunoscut ca acoperire eligibilă, calculat după cum urmează:</w:t>
                  </w:r>
                </w:p>
                <w:p w14:paraId="1E65A774"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66004B48" wp14:editId="3454F98D">
                        <wp:extent cx="1223010" cy="542290"/>
                        <wp:effectExtent l="0" t="0" r="0" b="0"/>
                        <wp:docPr id="172" name="Pictur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23010" cy="542290"/>
                                </a:xfrm>
                                <a:prstGeom prst="rect">
                                  <a:avLst/>
                                </a:prstGeom>
                                <a:noFill/>
                                <a:ln>
                                  <a:noFill/>
                                </a:ln>
                              </pic:spPr>
                            </pic:pic>
                          </a:graphicData>
                        </a:graphic>
                      </wp:inline>
                    </w:drawing>
                  </w:r>
                </w:p>
                <w:p w14:paraId="3CD5C27D"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3AF65B62" wp14:editId="181C8B2E">
                        <wp:extent cx="542290" cy="27432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290" cy="274320"/>
                                </a:xfrm>
                                <a:prstGeom prst="rect">
                                  <a:avLst/>
                                </a:prstGeom>
                                <a:noFill/>
                              </pic:spPr>
                            </pic:pic>
                          </a:graphicData>
                        </a:graphic>
                      </wp:inline>
                    </w:drawing>
                  </w:r>
                  <w:r w:rsidRPr="00B62813">
                    <w:rPr>
                      <w:rFonts w:eastAsiaTheme="minorHAnsi"/>
                      <w:sz w:val="18"/>
                      <w:szCs w:val="18"/>
                      <w:lang w:val="pt-BR" w:eastAsia="en-US"/>
                    </w:rPr>
                    <w:t>= ponderea de risc impusă de autoritățile de supraveghere a unui instrument având la bază o singură semnătură recunoscut ca acoperire eligibilă; ponderile de risc respective se bazează pe o combinație între sector și calitatea creditului aferentă marjei de credit de referință a instrumentului de acoperire și se determină în conformitate cu tabelul 1;</w:t>
                  </w:r>
                </w:p>
                <w:p w14:paraId="6F931BD6"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1A142F9E" wp14:editId="2D2E055E">
                        <wp:extent cx="414655" cy="276225"/>
                        <wp:effectExtent l="0" t="0" r="4445" b="9525"/>
                        <wp:docPr id="174"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B62813">
                    <w:rPr>
                      <w:rFonts w:eastAsiaTheme="minorHAnsi"/>
                      <w:sz w:val="18"/>
                      <w:szCs w:val="18"/>
                      <w:lang w:val="pt-BR" w:eastAsia="en-US"/>
                    </w:rPr>
                    <w:t xml:space="preserve">= scadența reziduală a uneia sau mai multor poziții pe același instrument-indice recunoscut ca acoperire eligibilă; în cazul în care există mai mult de o poziție pe același </w:t>
                  </w:r>
                  <w:r w:rsidRPr="00B62813">
                    <w:rPr>
                      <w:rFonts w:eastAsiaTheme="minorHAnsi"/>
                      <w:sz w:val="18"/>
                      <w:szCs w:val="18"/>
                      <w:lang w:val="pt-BR" w:eastAsia="en-US"/>
                    </w:rPr>
                    <w:lastRenderedPageBreak/>
                    <w:t>instrument-indice, </w:t>
                  </w:r>
                  <w:r w:rsidRPr="00B62813">
                    <w:rPr>
                      <w:rFonts w:eastAsiaTheme="minorHAnsi"/>
                      <w:noProof/>
                      <w:sz w:val="18"/>
                      <w:szCs w:val="18"/>
                      <w:lang w:val="en-US" w:eastAsia="en-US"/>
                    </w:rPr>
                    <w:drawing>
                      <wp:inline distT="0" distB="0" distL="0" distR="0" wp14:anchorId="4F3409EB" wp14:editId="1964055A">
                        <wp:extent cx="414655" cy="276225"/>
                        <wp:effectExtent l="0" t="0" r="4445" b="9525"/>
                        <wp:docPr id="175"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B62813">
                    <w:rPr>
                      <w:rFonts w:eastAsiaTheme="minorHAnsi"/>
                      <w:sz w:val="18"/>
                      <w:szCs w:val="18"/>
                      <w:lang w:val="pt-BR" w:eastAsia="en-US"/>
                    </w:rPr>
                    <w:t> este scadența ponderată în funcție de valorile noționale a tuturor pozițiilor respective;</w:t>
                  </w:r>
                </w:p>
                <w:p w14:paraId="799FC631"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6EE1CF2D" wp14:editId="70F24593">
                        <wp:extent cx="414655" cy="276225"/>
                        <wp:effectExtent l="0" t="0" r="4445" b="9525"/>
                        <wp:docPr id="176" name="Pictur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B62813">
                    <w:rPr>
                      <w:rFonts w:eastAsiaTheme="minorHAnsi"/>
                      <w:sz w:val="18"/>
                      <w:szCs w:val="18"/>
                      <w:lang w:val="pt-BR" w:eastAsia="en-US"/>
                    </w:rPr>
                    <w:t>= valoarea noțională integrală a uneia sau mai multor poziții pe același instrument-indice recunoscut ca acoperire eligibilă;</w:t>
                  </w:r>
                </w:p>
                <w:p w14:paraId="018343E9" w14:textId="77777777" w:rsidR="00B62813" w:rsidRPr="00B62813" w:rsidRDefault="00B62813" w:rsidP="00B62813">
                  <w:pPr>
                    <w:spacing w:line="259" w:lineRule="auto"/>
                    <w:ind w:firstLine="425"/>
                    <w:jc w:val="both"/>
                    <w:rPr>
                      <w:rFonts w:eastAsiaTheme="minorHAnsi"/>
                      <w:sz w:val="18"/>
                      <w:szCs w:val="18"/>
                      <w:lang w:val="pt-BR" w:eastAsia="en-US"/>
                    </w:rPr>
                  </w:pPr>
                  <w:r w:rsidRPr="00B62813">
                    <w:rPr>
                      <w:rFonts w:eastAsiaTheme="minorHAnsi"/>
                      <w:noProof/>
                      <w:sz w:val="18"/>
                      <w:szCs w:val="18"/>
                      <w:lang w:val="en-US" w:eastAsia="en-US"/>
                    </w:rPr>
                    <w:drawing>
                      <wp:inline distT="0" distB="0" distL="0" distR="0" wp14:anchorId="12FCFE4A" wp14:editId="0EB41947">
                        <wp:extent cx="499745" cy="276225"/>
                        <wp:effectExtent l="0" t="0" r="0" b="9525"/>
                        <wp:docPr id="177" name="Pictur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r w:rsidRPr="00B62813">
                    <w:rPr>
                      <w:rFonts w:eastAsiaTheme="minorHAnsi"/>
                      <w:sz w:val="18"/>
                      <w:szCs w:val="18"/>
                      <w:lang w:val="pt-BR" w:eastAsia="en-US"/>
                    </w:rPr>
                    <w:t>= factorul de actualizare impus de autoritățile de supraveghere pentru una sau mai multe poziții pe același instrument-indice recunoscut ca acoperire eligibilă, calculat după cum urmează:</w:t>
                  </w:r>
                </w:p>
                <w:p w14:paraId="23D0E9BC" w14:textId="77777777" w:rsidR="00B62813" w:rsidRPr="00B62813" w:rsidRDefault="00B62813" w:rsidP="00B62813">
                  <w:pPr>
                    <w:spacing w:line="259" w:lineRule="auto"/>
                    <w:ind w:firstLine="425"/>
                    <w:jc w:val="both"/>
                    <w:rPr>
                      <w:rFonts w:eastAsiaTheme="minorHAnsi"/>
                      <w:sz w:val="18"/>
                      <w:szCs w:val="18"/>
                      <w:lang w:val="pt-BR" w:eastAsia="en-US"/>
                    </w:rPr>
                  </w:pPr>
                </w:p>
              </w:tc>
              <w:tc>
                <w:tcPr>
                  <w:tcW w:w="6" w:type="dxa"/>
                  <w:shd w:val="clear" w:color="auto" w:fill="auto"/>
                </w:tcPr>
                <w:p w14:paraId="20A38B98" w14:textId="77777777" w:rsidR="00B62813" w:rsidRPr="00B62813" w:rsidRDefault="00B62813" w:rsidP="00B62813">
                  <w:pPr>
                    <w:spacing w:line="259" w:lineRule="auto"/>
                    <w:ind w:firstLine="425"/>
                    <w:jc w:val="both"/>
                    <w:rPr>
                      <w:rFonts w:eastAsiaTheme="minorHAnsi"/>
                      <w:sz w:val="18"/>
                      <w:szCs w:val="18"/>
                      <w:lang w:val="pt-BR" w:eastAsia="en-US"/>
                    </w:rPr>
                  </w:pPr>
                </w:p>
              </w:tc>
            </w:tr>
          </w:tbl>
          <w:p w14:paraId="51B8DA88" w14:textId="77777777" w:rsidR="00B62813" w:rsidRPr="00B62813" w:rsidRDefault="00B62813" w:rsidP="00B62813">
            <w:pPr>
              <w:spacing w:line="259" w:lineRule="auto"/>
              <w:ind w:firstLine="425"/>
              <w:jc w:val="both"/>
              <w:rPr>
                <w:rFonts w:eastAsiaTheme="minorHAnsi"/>
                <w:vanish/>
                <w:sz w:val="18"/>
                <w:szCs w:val="18"/>
                <w:lang w:val="pt-BR" w:eastAsia="en-US"/>
              </w:rPr>
            </w:pPr>
          </w:p>
          <w:p w14:paraId="3BA48419" w14:textId="77777777" w:rsidR="00B62813" w:rsidRPr="00B62813" w:rsidRDefault="00B62813" w:rsidP="00B62813">
            <w:pPr>
              <w:spacing w:line="259" w:lineRule="auto"/>
              <w:ind w:firstLine="425"/>
              <w:jc w:val="both"/>
              <w:rPr>
                <w:rFonts w:eastAsiaTheme="minorHAnsi"/>
                <w:vanish/>
                <w:sz w:val="18"/>
                <w:szCs w:val="18"/>
                <w:lang w:val="pt-BR" w:eastAsia="en-US"/>
              </w:rPr>
            </w:pPr>
          </w:p>
          <w:p w14:paraId="316C941E" w14:textId="77777777" w:rsidR="00B62813" w:rsidRPr="00B62813" w:rsidRDefault="00B62813" w:rsidP="00B62813">
            <w:pPr>
              <w:spacing w:line="259" w:lineRule="auto"/>
              <w:ind w:firstLine="425"/>
              <w:jc w:val="both"/>
              <w:rPr>
                <w:rFonts w:eastAsiaTheme="minorHAnsi"/>
                <w:vanish/>
                <w:sz w:val="18"/>
                <w:szCs w:val="18"/>
                <w:lang w:val="pt-BR" w:eastAsia="en-US"/>
              </w:rPr>
            </w:pPr>
          </w:p>
          <w:tbl>
            <w:tblPr>
              <w:tblW w:w="5000" w:type="pct"/>
              <w:tblLayout w:type="fixed"/>
              <w:tblCellMar>
                <w:left w:w="0" w:type="dxa"/>
                <w:right w:w="0" w:type="dxa"/>
              </w:tblCellMar>
              <w:tblLook w:val="04A0" w:firstRow="1" w:lastRow="0" w:firstColumn="1" w:lastColumn="0" w:noHBand="0" w:noVBand="1"/>
            </w:tblPr>
            <w:tblGrid>
              <w:gridCol w:w="20"/>
              <w:gridCol w:w="3449"/>
            </w:tblGrid>
            <w:tr w:rsidR="00B62813" w:rsidRPr="00B62813" w14:paraId="4F18B170" w14:textId="77777777" w:rsidTr="00E037ED">
              <w:tc>
                <w:tcPr>
                  <w:tcW w:w="6" w:type="dxa"/>
                  <w:shd w:val="clear" w:color="auto" w:fill="auto"/>
                  <w:hideMark/>
                </w:tcPr>
                <w:p w14:paraId="2D7AFEFE" w14:textId="77777777" w:rsidR="00B62813" w:rsidRPr="00B62813" w:rsidRDefault="00B62813" w:rsidP="00B62813">
                  <w:pPr>
                    <w:spacing w:line="259" w:lineRule="auto"/>
                    <w:ind w:firstLine="425"/>
                    <w:jc w:val="both"/>
                    <w:rPr>
                      <w:rFonts w:eastAsiaTheme="minorHAnsi"/>
                      <w:sz w:val="18"/>
                      <w:szCs w:val="18"/>
                      <w:lang w:val="pt-BR" w:eastAsia="en-US"/>
                    </w:rPr>
                  </w:pPr>
                </w:p>
              </w:tc>
              <w:tc>
                <w:tcPr>
                  <w:tcW w:w="9682" w:type="dxa"/>
                  <w:shd w:val="clear" w:color="auto" w:fill="auto"/>
                  <w:hideMark/>
                </w:tcPr>
                <w:p w14:paraId="629523AC" w14:textId="77777777" w:rsidR="00B62813" w:rsidRPr="00B62813" w:rsidRDefault="00B62813" w:rsidP="00B62813">
                  <w:pPr>
                    <w:spacing w:line="259" w:lineRule="auto"/>
                    <w:ind w:firstLine="425"/>
                    <w:jc w:val="both"/>
                    <w:rPr>
                      <w:rFonts w:eastAsiaTheme="minorHAnsi"/>
                      <w:sz w:val="18"/>
                      <w:szCs w:val="18"/>
                      <w:lang w:val="pt-BR" w:eastAsia="en-US"/>
                    </w:rPr>
                  </w:pPr>
                </w:p>
                <w:p w14:paraId="0E866FAE"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2E3A7BB5" wp14:editId="14A88A1A">
                        <wp:extent cx="1318260" cy="595630"/>
                        <wp:effectExtent l="0" t="0" r="0" b="0"/>
                        <wp:docPr id="178" name="Pictur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18260" cy="595630"/>
                                </a:xfrm>
                                <a:prstGeom prst="rect">
                                  <a:avLst/>
                                </a:prstGeom>
                                <a:noFill/>
                                <a:ln>
                                  <a:noFill/>
                                </a:ln>
                              </pic:spPr>
                            </pic:pic>
                          </a:graphicData>
                        </a:graphic>
                      </wp:inline>
                    </w:drawing>
                  </w:r>
                </w:p>
                <w:p w14:paraId="567712CB"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noProof/>
                      <w:sz w:val="18"/>
                      <w:szCs w:val="18"/>
                      <w:lang w:val="en-US" w:eastAsia="en-US"/>
                    </w:rPr>
                    <w:drawing>
                      <wp:inline distT="0" distB="0" distL="0" distR="0" wp14:anchorId="20C6B587" wp14:editId="666FFAB8">
                        <wp:extent cx="595630" cy="276225"/>
                        <wp:effectExtent l="0" t="0" r="0" b="9525"/>
                        <wp:docPr id="179" name="Pictur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B62813">
                    <w:rPr>
                      <w:rFonts w:eastAsiaTheme="minorHAnsi"/>
                      <w:sz w:val="18"/>
                      <w:szCs w:val="18"/>
                      <w:lang w:val="en-US" w:eastAsia="en-US"/>
                    </w:rPr>
                    <w:t>= ponderea de risc impusă de autoritățile de supraveghere a unui instrument-indice recunoscut ca acoperire eligibilă; </w:t>
                  </w:r>
                  <w:r w:rsidRPr="00B62813">
                    <w:rPr>
                      <w:rFonts w:eastAsiaTheme="minorHAnsi"/>
                      <w:noProof/>
                      <w:sz w:val="18"/>
                      <w:szCs w:val="18"/>
                      <w:lang w:val="en-US" w:eastAsia="en-US"/>
                    </w:rPr>
                    <w:drawing>
                      <wp:inline distT="0" distB="0" distL="0" distR="0" wp14:anchorId="5823C40B" wp14:editId="2DEFDFF8">
                        <wp:extent cx="595630" cy="276225"/>
                        <wp:effectExtent l="0" t="0" r="0" b="9525"/>
                        <wp:docPr id="180" name="Pictur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B62813">
                    <w:rPr>
                      <w:rFonts w:eastAsiaTheme="minorHAnsi"/>
                      <w:sz w:val="18"/>
                      <w:szCs w:val="18"/>
                      <w:lang w:val="en-US" w:eastAsia="en-US"/>
                    </w:rPr>
                    <w:t> se bazează pe o combinație între sector și calitatea creditului aferentă tuturor componentelor indicelui, calculată după cum urmează:</w:t>
                  </w:r>
                </w:p>
                <w:p w14:paraId="3118D282"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i/>
                      <w:iCs/>
                      <w:sz w:val="18"/>
                      <w:szCs w:val="18"/>
                      <w:lang w:val="en-US" w:eastAsia="en-US"/>
                    </w:rPr>
                    <w:t>i)</w:t>
                  </w:r>
                  <w:r w:rsidRPr="00B62813">
                    <w:rPr>
                      <w:rFonts w:eastAsiaTheme="minorHAnsi"/>
                      <w:sz w:val="18"/>
                      <w:szCs w:val="18"/>
                      <w:lang w:val="en-US" w:eastAsia="en-US"/>
                    </w:rPr>
                    <w:t xml:space="preserve"> în cazul în care toate componentele indicelui aparțin aceluiași sector și au aceeași calitate a creditului, determinată în conformitate cu tabelul 1, se calculează ca fiind ponderea de </w:t>
                  </w:r>
                  <w:r w:rsidRPr="00B62813">
                    <w:rPr>
                      <w:rFonts w:eastAsiaTheme="minorHAnsi"/>
                      <w:sz w:val="18"/>
                      <w:szCs w:val="18"/>
                      <w:lang w:val="en-US" w:eastAsia="en-US"/>
                    </w:rPr>
                    <w:lastRenderedPageBreak/>
                    <w:t>risc relevantă din tabelul 1 pentru sectorul respectiv și calitatea creditului respectivă înmulțită cu 0,7;</w:t>
                  </w:r>
                </w:p>
                <w:p w14:paraId="20509A1F" w14:textId="77777777" w:rsidR="00B62813" w:rsidRPr="00B62813" w:rsidRDefault="00B62813" w:rsidP="00B62813">
                  <w:pPr>
                    <w:spacing w:line="259" w:lineRule="auto"/>
                    <w:ind w:firstLine="425"/>
                    <w:jc w:val="both"/>
                    <w:rPr>
                      <w:rFonts w:eastAsiaTheme="minorHAnsi"/>
                      <w:sz w:val="18"/>
                      <w:szCs w:val="18"/>
                      <w:lang w:val="en-US" w:eastAsia="en-US"/>
                    </w:rPr>
                  </w:pPr>
                  <w:r w:rsidRPr="00B62813">
                    <w:rPr>
                      <w:rFonts w:eastAsiaTheme="minorHAnsi"/>
                      <w:i/>
                      <w:iCs/>
                      <w:sz w:val="18"/>
                      <w:szCs w:val="18"/>
                      <w:lang w:val="en-US" w:eastAsia="en-US"/>
                    </w:rPr>
                    <w:t>ii)</w:t>
                  </w:r>
                  <w:r w:rsidRPr="00B62813">
                    <w:rPr>
                      <w:rFonts w:eastAsiaTheme="minorHAnsi"/>
                      <w:sz w:val="18"/>
                      <w:szCs w:val="18"/>
                      <w:lang w:val="en-US" w:eastAsia="en-US"/>
                    </w:rPr>
                    <w:t xml:space="preserve"> în cazul în care nu toate componentele indicelui aparțin aceluiași sector sau au aceeași calitate a creditului, </w:t>
                  </w:r>
                  <w:r w:rsidRPr="00B62813">
                    <w:rPr>
                      <w:rFonts w:eastAsiaTheme="minorHAnsi"/>
                      <w:noProof/>
                      <w:sz w:val="18"/>
                      <w:szCs w:val="18"/>
                      <w:lang w:val="en-US" w:eastAsia="en-US"/>
                    </w:rPr>
                    <w:drawing>
                      <wp:inline distT="0" distB="0" distL="0" distR="0" wp14:anchorId="6E0B61CD" wp14:editId="3AB7882C">
                        <wp:extent cx="595630" cy="276225"/>
                        <wp:effectExtent l="0" t="0" r="0" b="9525"/>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B62813">
                    <w:rPr>
                      <w:rFonts w:eastAsiaTheme="minorHAnsi"/>
                      <w:sz w:val="18"/>
                      <w:szCs w:val="18"/>
                      <w:lang w:val="en-US" w:eastAsia="en-US"/>
                    </w:rPr>
                    <w:t> se calculează ca media ponderată a ponderilor de risc ale tuturor componentelor indicelui, determinate în conformitate cu tabelul 1, înmulțită cu 0,7;</w:t>
                  </w:r>
                </w:p>
                <w:p w14:paraId="4F356962" w14:textId="77777777" w:rsidR="00B62813" w:rsidRPr="00B62813" w:rsidRDefault="00B62813" w:rsidP="00B62813">
                  <w:pPr>
                    <w:spacing w:line="259" w:lineRule="auto"/>
                    <w:ind w:firstLine="425"/>
                    <w:jc w:val="both"/>
                    <w:rPr>
                      <w:rFonts w:eastAsiaTheme="minorHAnsi"/>
                      <w:sz w:val="18"/>
                      <w:szCs w:val="18"/>
                      <w:lang w:val="en-US" w:eastAsia="en-US"/>
                    </w:rPr>
                  </w:pPr>
                </w:p>
              </w:tc>
            </w:tr>
          </w:tbl>
          <w:p w14:paraId="0AD8718F" w14:textId="77777777" w:rsidR="00DE1309" w:rsidRPr="002460E2" w:rsidRDefault="00E30831" w:rsidP="00E30831">
            <w:pPr>
              <w:jc w:val="right"/>
              <w:rPr>
                <w:bCs/>
                <w:i/>
                <w:iCs/>
                <w:sz w:val="18"/>
                <w:szCs w:val="18"/>
                <w:lang w:val="en-US" w:eastAsia="en-US"/>
              </w:rPr>
            </w:pPr>
            <w:r w:rsidRPr="002460E2">
              <w:rPr>
                <w:bCs/>
                <w:i/>
                <w:iCs/>
                <w:sz w:val="18"/>
                <w:szCs w:val="18"/>
                <w:lang w:val="en-US" w:eastAsia="en-US"/>
              </w:rPr>
              <w:lastRenderedPageBreak/>
              <w:t>Tabelul 1</w:t>
            </w:r>
          </w:p>
          <w:tbl>
            <w:tblPr>
              <w:tblW w:w="3303"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75"/>
              <w:gridCol w:w="617"/>
              <w:gridCol w:w="811"/>
            </w:tblGrid>
            <w:tr w:rsidR="00E30831" w:rsidRPr="002460E2" w14:paraId="18C12C62" w14:textId="77777777" w:rsidTr="00E30831">
              <w:trPr>
                <w:trHeight w:val="52"/>
                <w:jc w:val="center"/>
              </w:trPr>
              <w:tc>
                <w:tcPr>
                  <w:tcW w:w="187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176581" w14:textId="77777777" w:rsidR="00E30831" w:rsidRPr="002460E2" w:rsidRDefault="00E30831" w:rsidP="00E30831">
                  <w:pPr>
                    <w:rPr>
                      <w:b/>
                      <w:bCs/>
                      <w:sz w:val="18"/>
                      <w:szCs w:val="18"/>
                    </w:rPr>
                  </w:pPr>
                  <w:r w:rsidRPr="002460E2">
                    <w:rPr>
                      <w:b/>
                      <w:bCs/>
                      <w:sz w:val="18"/>
                      <w:szCs w:val="18"/>
                    </w:rPr>
                    <w:t>Sectorul contrapărții</w:t>
                  </w:r>
                </w:p>
              </w:tc>
              <w:tc>
                <w:tcPr>
                  <w:tcW w:w="1428"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9DE0AD" w14:textId="77777777" w:rsidR="00E30831" w:rsidRPr="002460E2" w:rsidRDefault="00E30831" w:rsidP="00E30831">
                  <w:pPr>
                    <w:rPr>
                      <w:b/>
                      <w:bCs/>
                      <w:sz w:val="18"/>
                      <w:szCs w:val="18"/>
                    </w:rPr>
                  </w:pPr>
                  <w:r w:rsidRPr="002460E2">
                    <w:rPr>
                      <w:b/>
                      <w:bCs/>
                      <w:sz w:val="18"/>
                      <w:szCs w:val="18"/>
                    </w:rPr>
                    <w:t>Calitatea creditului</w:t>
                  </w:r>
                </w:p>
              </w:tc>
            </w:tr>
            <w:tr w:rsidR="00E30831" w:rsidRPr="002460E2" w14:paraId="1A91E2D6" w14:textId="77777777" w:rsidTr="00E30831">
              <w:trPr>
                <w:trHeight w:val="22"/>
                <w:jc w:val="center"/>
              </w:trPr>
              <w:tc>
                <w:tcPr>
                  <w:tcW w:w="187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5D075C8" w14:textId="77777777" w:rsidR="00E30831" w:rsidRPr="002460E2" w:rsidRDefault="00E30831" w:rsidP="00E30831">
                  <w:pPr>
                    <w:rPr>
                      <w:b/>
                      <w:bCs/>
                      <w:sz w:val="18"/>
                      <w:szCs w:val="18"/>
                    </w:rPr>
                  </w:pP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434CC0" w14:textId="77777777" w:rsidR="00E30831" w:rsidRPr="002460E2" w:rsidRDefault="00E30831" w:rsidP="00E30831">
                  <w:pPr>
                    <w:rPr>
                      <w:b/>
                      <w:bCs/>
                      <w:sz w:val="18"/>
                      <w:szCs w:val="18"/>
                      <w:lang w:val="en-US"/>
                    </w:rPr>
                  </w:pPr>
                  <w:r w:rsidRPr="002460E2">
                    <w:rPr>
                      <w:b/>
                      <w:bCs/>
                      <w:sz w:val="18"/>
                      <w:szCs w:val="18"/>
                      <w:lang w:val="en-US"/>
                    </w:rPr>
                    <w:t>Nivelul 1-3</w:t>
                  </w:r>
                </w:p>
                <w:p w14:paraId="55E44C72" w14:textId="77777777" w:rsidR="00E30831" w:rsidRPr="002460E2" w:rsidRDefault="00E30831" w:rsidP="00E30831">
                  <w:pPr>
                    <w:rPr>
                      <w:b/>
                      <w:bCs/>
                      <w:sz w:val="18"/>
                      <w:szCs w:val="18"/>
                      <w:lang w:val="en-US"/>
                    </w:rPr>
                  </w:pPr>
                  <w:r w:rsidRPr="002460E2">
                    <w:rPr>
                      <w:b/>
                      <w:bCs/>
                      <w:sz w:val="18"/>
                      <w:szCs w:val="18"/>
                      <w:lang w:val="en-US"/>
                    </w:rPr>
                    <w:t>de calitate a creditului</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55A46E" w14:textId="77777777" w:rsidR="00E30831" w:rsidRPr="002460E2" w:rsidRDefault="00E30831" w:rsidP="00E30831">
                  <w:pPr>
                    <w:rPr>
                      <w:b/>
                      <w:bCs/>
                      <w:sz w:val="18"/>
                      <w:szCs w:val="18"/>
                      <w:lang w:val="en-US"/>
                    </w:rPr>
                  </w:pPr>
                  <w:r w:rsidRPr="002460E2">
                    <w:rPr>
                      <w:b/>
                      <w:bCs/>
                      <w:sz w:val="18"/>
                      <w:szCs w:val="18"/>
                      <w:lang w:val="en-US"/>
                    </w:rPr>
                    <w:t>Nivelul 4-6 de calitate a creditului și fără rating</w:t>
                  </w:r>
                </w:p>
              </w:tc>
            </w:tr>
            <w:tr w:rsidR="00E30831" w:rsidRPr="002460E2" w14:paraId="76376CBE" w14:textId="77777777" w:rsidTr="00E30831">
              <w:trPr>
                <w:trHeight w:val="153"/>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B7DB2B" w14:textId="6CCF2590" w:rsidR="00E30831" w:rsidRPr="002460E2" w:rsidRDefault="00E30831" w:rsidP="00E30831">
                  <w:pPr>
                    <w:rPr>
                      <w:sz w:val="18"/>
                      <w:szCs w:val="18"/>
                      <w:lang w:val="en-US"/>
                    </w:rPr>
                  </w:pPr>
                  <w:r w:rsidRPr="002460E2">
                    <w:rPr>
                      <w:sz w:val="18"/>
                      <w:szCs w:val="18"/>
                      <w:lang w:val="en-US"/>
                    </w:rPr>
                    <w:t>Autorități ale administrației publice centrale din Republica Moldova, inclusiv băncile centrale, băncile de dezvoltare multilaterală și organizațiile internaționale menționate în prevederile reglementărilor aferente tratamentului riscului de piaţă potrivit abordării standardizate</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600000" w14:textId="77777777" w:rsidR="00E30831" w:rsidRPr="002460E2" w:rsidRDefault="00E30831" w:rsidP="00E30831">
                  <w:pPr>
                    <w:rPr>
                      <w:sz w:val="18"/>
                      <w:szCs w:val="18"/>
                    </w:rPr>
                  </w:pPr>
                  <w:r w:rsidRPr="002460E2">
                    <w:rPr>
                      <w:sz w:val="18"/>
                      <w:szCs w:val="18"/>
                    </w:rPr>
                    <w:t>0,5  %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ECD1BE" w14:textId="77777777" w:rsidR="00E30831" w:rsidRPr="002460E2" w:rsidRDefault="00E30831" w:rsidP="00E30831">
                  <w:pPr>
                    <w:rPr>
                      <w:sz w:val="18"/>
                      <w:szCs w:val="18"/>
                    </w:rPr>
                  </w:pPr>
                  <w:r w:rsidRPr="002460E2">
                    <w:rPr>
                      <w:sz w:val="18"/>
                      <w:szCs w:val="18"/>
                    </w:rPr>
                    <w:t>2,0  %</w:t>
                  </w:r>
                </w:p>
              </w:tc>
            </w:tr>
            <w:tr w:rsidR="00E30831" w:rsidRPr="002460E2" w14:paraId="77785598" w14:textId="77777777" w:rsidTr="00E30831">
              <w:trPr>
                <w:trHeight w:val="75"/>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53A5A4" w14:textId="0FE852C7" w:rsidR="00E30831" w:rsidRPr="002460E2" w:rsidRDefault="00E30831" w:rsidP="00E30831">
                  <w:pPr>
                    <w:rPr>
                      <w:sz w:val="18"/>
                      <w:szCs w:val="18"/>
                      <w:lang w:val="en-US"/>
                    </w:rPr>
                  </w:pPr>
                  <w:r w:rsidRPr="002460E2">
                    <w:rPr>
                      <w:sz w:val="18"/>
                      <w:szCs w:val="18"/>
                      <w:lang w:val="en-US"/>
                    </w:rPr>
                    <w:lastRenderedPageBreak/>
                    <w:t>Autoritate publică locală și persoană juridică de drept public</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065EB7" w14:textId="77777777" w:rsidR="00E30831" w:rsidRPr="002460E2" w:rsidRDefault="00E30831" w:rsidP="00E30831">
                  <w:pPr>
                    <w:rPr>
                      <w:sz w:val="18"/>
                      <w:szCs w:val="18"/>
                    </w:rPr>
                  </w:pPr>
                  <w:r w:rsidRPr="002460E2">
                    <w:rPr>
                      <w:sz w:val="18"/>
                      <w:szCs w:val="18"/>
                    </w:rPr>
                    <w:t>1,0  %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6C8006" w14:textId="77777777" w:rsidR="00E30831" w:rsidRPr="002460E2" w:rsidRDefault="00E30831" w:rsidP="00E30831">
                  <w:pPr>
                    <w:rPr>
                      <w:sz w:val="18"/>
                      <w:szCs w:val="18"/>
                    </w:rPr>
                  </w:pPr>
                  <w:r w:rsidRPr="002460E2">
                    <w:rPr>
                      <w:sz w:val="18"/>
                      <w:szCs w:val="18"/>
                    </w:rPr>
                    <w:t>4,0  %</w:t>
                  </w:r>
                </w:p>
              </w:tc>
            </w:tr>
            <w:tr w:rsidR="00E30831" w:rsidRPr="002460E2" w14:paraId="57E1B3D5" w14:textId="77777777" w:rsidTr="00E30831">
              <w:trPr>
                <w:trHeight w:val="153"/>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78AC3E" w14:textId="77E5BA67" w:rsidR="00E30831" w:rsidRPr="002460E2" w:rsidRDefault="00E30831" w:rsidP="00E30831">
                  <w:pPr>
                    <w:rPr>
                      <w:sz w:val="18"/>
                      <w:szCs w:val="18"/>
                      <w:lang w:val="en-US"/>
                    </w:rPr>
                  </w:pPr>
                  <w:r w:rsidRPr="002460E2">
                    <w:rPr>
                      <w:sz w:val="18"/>
                      <w:szCs w:val="18"/>
                    </w:rPr>
                    <w:t>Entități din sectorul financiar</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74A276" w14:textId="77777777" w:rsidR="00E30831" w:rsidRPr="002460E2" w:rsidRDefault="00E30831" w:rsidP="00E30831">
                  <w:pPr>
                    <w:rPr>
                      <w:sz w:val="18"/>
                      <w:szCs w:val="18"/>
                    </w:rPr>
                  </w:pPr>
                  <w:r w:rsidRPr="002460E2">
                    <w:rPr>
                      <w:sz w:val="18"/>
                      <w:szCs w:val="18"/>
                    </w:rPr>
                    <w:t>5,0  %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895DD6" w14:textId="77777777" w:rsidR="00E30831" w:rsidRPr="002460E2" w:rsidRDefault="00E30831" w:rsidP="00E30831">
                  <w:pPr>
                    <w:rPr>
                      <w:sz w:val="18"/>
                      <w:szCs w:val="18"/>
                    </w:rPr>
                  </w:pPr>
                  <w:r w:rsidRPr="002460E2">
                    <w:rPr>
                      <w:sz w:val="18"/>
                      <w:szCs w:val="18"/>
                    </w:rPr>
                    <w:t>12,0  %</w:t>
                  </w:r>
                </w:p>
              </w:tc>
            </w:tr>
            <w:tr w:rsidR="00E30831" w:rsidRPr="002460E2" w14:paraId="421845A7" w14:textId="77777777" w:rsidTr="00E30831">
              <w:trPr>
                <w:trHeight w:val="100"/>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BCCB19" w14:textId="2D48891A" w:rsidR="00E30831" w:rsidRPr="002460E2" w:rsidRDefault="00E30831" w:rsidP="00E30831">
                  <w:pPr>
                    <w:rPr>
                      <w:sz w:val="18"/>
                      <w:szCs w:val="18"/>
                      <w:lang w:val="en-US"/>
                    </w:rPr>
                  </w:pPr>
                  <w:r w:rsidRPr="002460E2">
                    <w:rPr>
                      <w:sz w:val="18"/>
                      <w:szCs w:val="18"/>
                      <w:lang w:val="en-US"/>
                    </w:rPr>
                    <w:t>Materiale de bază, energie, produse industriale, agricultură, industria prelucrătoare, industria extractivă</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C833F4" w14:textId="77777777" w:rsidR="00E30831" w:rsidRPr="002460E2" w:rsidRDefault="00E30831" w:rsidP="00E30831">
                  <w:pPr>
                    <w:rPr>
                      <w:sz w:val="18"/>
                      <w:szCs w:val="18"/>
                    </w:rPr>
                  </w:pPr>
                  <w:r w:rsidRPr="002460E2">
                    <w:rPr>
                      <w:sz w:val="18"/>
                      <w:szCs w:val="18"/>
                    </w:rPr>
                    <w:t>3,0  %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7E087C" w14:textId="77777777" w:rsidR="00E30831" w:rsidRPr="002460E2" w:rsidRDefault="00E30831" w:rsidP="00E30831">
                  <w:pPr>
                    <w:rPr>
                      <w:sz w:val="18"/>
                      <w:szCs w:val="18"/>
                    </w:rPr>
                  </w:pPr>
                  <w:r w:rsidRPr="002460E2">
                    <w:rPr>
                      <w:sz w:val="18"/>
                      <w:szCs w:val="18"/>
                    </w:rPr>
                    <w:t>7,0  %</w:t>
                  </w:r>
                </w:p>
              </w:tc>
            </w:tr>
            <w:tr w:rsidR="00E30831" w:rsidRPr="002460E2" w14:paraId="02871428" w14:textId="77777777" w:rsidTr="00E30831">
              <w:trPr>
                <w:trHeight w:val="102"/>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34F1E2" w14:textId="3F3DCF14" w:rsidR="00E30831" w:rsidRPr="002460E2" w:rsidRDefault="00E30831" w:rsidP="00E30831">
                  <w:pPr>
                    <w:rPr>
                      <w:sz w:val="18"/>
                      <w:szCs w:val="18"/>
                      <w:lang w:val="en-US"/>
                    </w:rPr>
                  </w:pPr>
                  <w:r w:rsidRPr="002460E2">
                    <w:rPr>
                      <w:sz w:val="18"/>
                      <w:szCs w:val="18"/>
                      <w:lang w:val="en-US"/>
                    </w:rPr>
                    <w:t>Bunuri și servicii pentru consumatori, transport și depozitare, servicii administrative și activități de sprijin</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303940" w14:textId="77777777" w:rsidR="00E30831" w:rsidRPr="002460E2" w:rsidRDefault="00E30831" w:rsidP="00E30831">
                  <w:pPr>
                    <w:rPr>
                      <w:sz w:val="18"/>
                      <w:szCs w:val="18"/>
                    </w:rPr>
                  </w:pPr>
                  <w:r w:rsidRPr="002460E2">
                    <w:rPr>
                      <w:sz w:val="18"/>
                      <w:szCs w:val="18"/>
                    </w:rPr>
                    <w:t>3,0  %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113765" w14:textId="77777777" w:rsidR="00E30831" w:rsidRPr="002460E2" w:rsidRDefault="00E30831" w:rsidP="00E30831">
                  <w:pPr>
                    <w:rPr>
                      <w:sz w:val="18"/>
                      <w:szCs w:val="18"/>
                    </w:rPr>
                  </w:pPr>
                  <w:r w:rsidRPr="002460E2">
                    <w:rPr>
                      <w:sz w:val="18"/>
                      <w:szCs w:val="18"/>
                    </w:rPr>
                    <w:t>8,5  %</w:t>
                  </w:r>
                </w:p>
              </w:tc>
            </w:tr>
            <w:tr w:rsidR="00E30831" w:rsidRPr="002460E2" w14:paraId="5DDC442F" w14:textId="77777777" w:rsidTr="00E30831">
              <w:trPr>
                <w:trHeight w:val="52"/>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1CFCC1" w14:textId="04D9142F" w:rsidR="00E30831" w:rsidRPr="002460E2" w:rsidRDefault="00E30831" w:rsidP="00E30831">
                  <w:pPr>
                    <w:rPr>
                      <w:sz w:val="18"/>
                      <w:szCs w:val="18"/>
                    </w:rPr>
                  </w:pPr>
                  <w:r w:rsidRPr="002460E2">
                    <w:rPr>
                      <w:sz w:val="18"/>
                      <w:szCs w:val="18"/>
                    </w:rPr>
                    <w:t>Tehnologie, telecomunicații</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1930C3" w14:textId="77777777" w:rsidR="00E30831" w:rsidRPr="002460E2" w:rsidRDefault="00E30831" w:rsidP="00E30831">
                  <w:pPr>
                    <w:rPr>
                      <w:sz w:val="18"/>
                      <w:szCs w:val="18"/>
                    </w:rPr>
                  </w:pPr>
                  <w:r w:rsidRPr="002460E2">
                    <w:rPr>
                      <w:sz w:val="18"/>
                      <w:szCs w:val="18"/>
                    </w:rPr>
                    <w:t>2,0  %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707F9C" w14:textId="77777777" w:rsidR="00E30831" w:rsidRPr="002460E2" w:rsidRDefault="00E30831" w:rsidP="00E30831">
                  <w:pPr>
                    <w:rPr>
                      <w:sz w:val="18"/>
                      <w:szCs w:val="18"/>
                    </w:rPr>
                  </w:pPr>
                  <w:r w:rsidRPr="002460E2">
                    <w:rPr>
                      <w:sz w:val="18"/>
                      <w:szCs w:val="18"/>
                    </w:rPr>
                    <w:t>5,5  %</w:t>
                  </w:r>
                </w:p>
              </w:tc>
            </w:tr>
            <w:tr w:rsidR="00E30831" w:rsidRPr="002460E2" w14:paraId="64600113" w14:textId="77777777" w:rsidTr="00E30831">
              <w:trPr>
                <w:trHeight w:val="77"/>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30A7F9" w14:textId="5B526871" w:rsidR="00E30831" w:rsidRPr="002460E2" w:rsidRDefault="00E30831" w:rsidP="00E30831">
                  <w:pPr>
                    <w:rPr>
                      <w:sz w:val="18"/>
                      <w:szCs w:val="18"/>
                      <w:lang w:val="en-US"/>
                    </w:rPr>
                  </w:pPr>
                  <w:r w:rsidRPr="002460E2">
                    <w:rPr>
                      <w:sz w:val="18"/>
                      <w:szCs w:val="18"/>
                      <w:lang w:val="en-US"/>
                    </w:rPr>
                    <w:t>Asistență medicală, utilități, activități profesionale și tehnice</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A8E0AF" w14:textId="77777777" w:rsidR="00E30831" w:rsidRPr="002460E2" w:rsidRDefault="00E30831" w:rsidP="00E30831">
                  <w:pPr>
                    <w:rPr>
                      <w:sz w:val="18"/>
                      <w:szCs w:val="18"/>
                    </w:rPr>
                  </w:pPr>
                  <w:r w:rsidRPr="002460E2">
                    <w:rPr>
                      <w:sz w:val="18"/>
                      <w:szCs w:val="18"/>
                    </w:rPr>
                    <w:t>1,5  %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C082A0" w14:textId="77777777" w:rsidR="00E30831" w:rsidRPr="002460E2" w:rsidRDefault="00E30831" w:rsidP="00E30831">
                  <w:pPr>
                    <w:rPr>
                      <w:sz w:val="18"/>
                      <w:szCs w:val="18"/>
                    </w:rPr>
                  </w:pPr>
                  <w:r w:rsidRPr="002460E2">
                    <w:rPr>
                      <w:sz w:val="18"/>
                      <w:szCs w:val="18"/>
                    </w:rPr>
                    <w:t>5,0  %</w:t>
                  </w:r>
                </w:p>
              </w:tc>
            </w:tr>
            <w:tr w:rsidR="00E30831" w:rsidRPr="002460E2" w14:paraId="26AD62E3" w14:textId="77777777" w:rsidTr="00E30831">
              <w:trPr>
                <w:trHeight w:val="52"/>
                <w:jc w:val="center"/>
              </w:trPr>
              <w:tc>
                <w:tcPr>
                  <w:tcW w:w="18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1624A5" w14:textId="77777777" w:rsidR="00E30831" w:rsidRPr="002460E2" w:rsidRDefault="00E30831" w:rsidP="00E30831">
                  <w:pPr>
                    <w:rPr>
                      <w:sz w:val="18"/>
                      <w:szCs w:val="18"/>
                    </w:rPr>
                  </w:pPr>
                  <w:r w:rsidRPr="002460E2">
                    <w:rPr>
                      <w:sz w:val="18"/>
                      <w:szCs w:val="18"/>
                    </w:rPr>
                    <w:t>Alt sector</w:t>
                  </w:r>
                </w:p>
              </w:tc>
              <w:tc>
                <w:tcPr>
                  <w:tcW w:w="6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88B99D" w14:textId="77777777" w:rsidR="00E30831" w:rsidRPr="002460E2" w:rsidRDefault="00E30831" w:rsidP="00E30831">
                  <w:pPr>
                    <w:rPr>
                      <w:sz w:val="18"/>
                      <w:szCs w:val="18"/>
                    </w:rPr>
                  </w:pPr>
                  <w:r w:rsidRPr="002460E2">
                    <w:rPr>
                      <w:sz w:val="18"/>
                      <w:szCs w:val="18"/>
                    </w:rPr>
                    <w:t>5,0  %</w:t>
                  </w:r>
                </w:p>
              </w:tc>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45968D" w14:textId="77777777" w:rsidR="00E30831" w:rsidRPr="002460E2" w:rsidRDefault="00E30831" w:rsidP="00E30831">
                  <w:pPr>
                    <w:rPr>
                      <w:sz w:val="18"/>
                      <w:szCs w:val="18"/>
                    </w:rPr>
                  </w:pPr>
                  <w:r w:rsidRPr="002460E2">
                    <w:rPr>
                      <w:sz w:val="18"/>
                      <w:szCs w:val="18"/>
                    </w:rPr>
                    <w:t>12,0  %</w:t>
                  </w:r>
                </w:p>
              </w:tc>
            </w:tr>
          </w:tbl>
          <w:p w14:paraId="22C6780D" w14:textId="77777777" w:rsidR="00E30831" w:rsidRPr="002460E2" w:rsidRDefault="00E30831" w:rsidP="00E30831">
            <w:pPr>
              <w:jc w:val="center"/>
              <w:rPr>
                <w:i/>
                <w:iCs/>
                <w:sz w:val="18"/>
                <w:szCs w:val="18"/>
                <w:lang w:val="en-US"/>
              </w:rPr>
            </w:pPr>
            <w:r w:rsidRPr="002460E2">
              <w:rPr>
                <w:i/>
                <w:iCs/>
                <w:sz w:val="18"/>
                <w:szCs w:val="18"/>
                <w:lang w:val="en-US"/>
              </w:rPr>
              <w:t>Tabelul 2</w:t>
            </w:r>
          </w:p>
          <w:p w14:paraId="32F841CC" w14:textId="77777777" w:rsidR="00E30831" w:rsidRPr="002460E2" w:rsidRDefault="00E30831" w:rsidP="00E30831">
            <w:pPr>
              <w:jc w:val="center"/>
              <w:rPr>
                <w:i/>
                <w:iCs/>
                <w:sz w:val="18"/>
                <w:szCs w:val="18"/>
                <w:lang w:val="en-US"/>
              </w:rPr>
            </w:pPr>
          </w:p>
          <w:tbl>
            <w:tblPr>
              <w:tblW w:w="3156"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460"/>
              <w:gridCol w:w="696"/>
            </w:tblGrid>
            <w:tr w:rsidR="00E30831" w:rsidRPr="002460E2" w14:paraId="34E9E4AB" w14:textId="77777777" w:rsidTr="00E30831">
              <w:trPr>
                <w:trHeight w:val="392"/>
                <w:jc w:val="center"/>
              </w:trPr>
              <w:tc>
                <w:tcPr>
                  <w:tcW w:w="3156"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00F5FD" w14:textId="77777777" w:rsidR="00E30831" w:rsidRPr="002460E2" w:rsidRDefault="00E30831" w:rsidP="00E30831">
                  <w:pPr>
                    <w:rPr>
                      <w:sz w:val="18"/>
                      <w:szCs w:val="18"/>
                      <w:lang w:val="en-US"/>
                    </w:rPr>
                  </w:pPr>
                  <w:r w:rsidRPr="002460E2">
                    <w:rPr>
                      <w:sz w:val="18"/>
                      <w:szCs w:val="18"/>
                      <w:lang w:val="en-US"/>
                    </w:rPr>
                    <w:t>Corelațiile dintre marja de credit a contrapărții și acoperirea având la bază o singură semnătură</w:t>
                  </w:r>
                </w:p>
              </w:tc>
            </w:tr>
            <w:tr w:rsidR="00E30831" w:rsidRPr="002460E2" w14:paraId="15F7F39F" w14:textId="77777777" w:rsidTr="00E30831">
              <w:trPr>
                <w:trHeight w:val="392"/>
                <w:jc w:val="center"/>
              </w:trPr>
              <w:tc>
                <w:tcPr>
                  <w:tcW w:w="24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F65468" w14:textId="77777777" w:rsidR="00E30831" w:rsidRPr="002460E2" w:rsidRDefault="00E30831" w:rsidP="00E30831">
                  <w:pPr>
                    <w:rPr>
                      <w:sz w:val="18"/>
                      <w:szCs w:val="18"/>
                      <w:lang w:val="en-US"/>
                    </w:rPr>
                  </w:pPr>
                  <w:r w:rsidRPr="002460E2">
                    <w:rPr>
                      <w:sz w:val="18"/>
                      <w:szCs w:val="18"/>
                      <w:lang w:val="en-US"/>
                    </w:rPr>
                    <w:t>Acoperirea având la bază o singură semnătură h a contrapărții i</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10DCEC" w14:textId="77777777" w:rsidR="00E30831" w:rsidRPr="002460E2" w:rsidRDefault="00E30831" w:rsidP="00E30831">
                  <w:pPr>
                    <w:rPr>
                      <w:sz w:val="18"/>
                      <w:szCs w:val="18"/>
                    </w:rPr>
                  </w:pPr>
                  <w:r w:rsidRPr="002460E2">
                    <w:rPr>
                      <w:sz w:val="18"/>
                      <w:szCs w:val="18"/>
                    </w:rPr>
                    <w:t>Valoarea r</w:t>
                  </w:r>
                  <w:r w:rsidRPr="002460E2">
                    <w:rPr>
                      <w:sz w:val="18"/>
                      <w:szCs w:val="18"/>
                      <w:vertAlign w:val="subscript"/>
                    </w:rPr>
                    <w:t>hc</w:t>
                  </w:r>
                </w:p>
              </w:tc>
            </w:tr>
            <w:tr w:rsidR="00E30831" w:rsidRPr="002460E2" w14:paraId="173143B4" w14:textId="77777777" w:rsidTr="00E30831">
              <w:trPr>
                <w:trHeight w:val="384"/>
                <w:jc w:val="center"/>
              </w:trPr>
              <w:tc>
                <w:tcPr>
                  <w:tcW w:w="24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49E2D7" w14:textId="55695F25" w:rsidR="00E30831" w:rsidRPr="002460E2" w:rsidRDefault="00E30831" w:rsidP="00E30831">
                  <w:pPr>
                    <w:rPr>
                      <w:sz w:val="18"/>
                      <w:szCs w:val="18"/>
                      <w:lang w:val="en-US"/>
                    </w:rPr>
                  </w:pPr>
                  <w:r w:rsidRPr="002460E2">
                    <w:rPr>
                      <w:sz w:val="18"/>
                      <w:szCs w:val="18"/>
                    </w:rPr>
                    <w:t>Contrapărțile menționate la subpunctul 122.1.1.</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904846" w14:textId="77777777" w:rsidR="00E30831" w:rsidRPr="002460E2" w:rsidRDefault="00E30831" w:rsidP="00E30831">
                  <w:pPr>
                    <w:rPr>
                      <w:sz w:val="18"/>
                      <w:szCs w:val="18"/>
                    </w:rPr>
                  </w:pPr>
                  <w:r w:rsidRPr="002460E2">
                    <w:rPr>
                      <w:sz w:val="18"/>
                      <w:szCs w:val="18"/>
                    </w:rPr>
                    <w:t>100 %</w:t>
                  </w:r>
                </w:p>
              </w:tc>
            </w:tr>
            <w:tr w:rsidR="00E30831" w:rsidRPr="002460E2" w14:paraId="5B2DCADC" w14:textId="77777777" w:rsidTr="00E30831">
              <w:trPr>
                <w:trHeight w:val="392"/>
                <w:jc w:val="center"/>
              </w:trPr>
              <w:tc>
                <w:tcPr>
                  <w:tcW w:w="24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FF128D" w14:textId="68637B29" w:rsidR="00E30831" w:rsidRPr="002460E2" w:rsidRDefault="00E30831" w:rsidP="00E30831">
                  <w:pPr>
                    <w:rPr>
                      <w:sz w:val="18"/>
                      <w:szCs w:val="18"/>
                      <w:lang w:val="en-US"/>
                    </w:rPr>
                  </w:pPr>
                  <w:r w:rsidRPr="002460E2">
                    <w:rPr>
                      <w:sz w:val="18"/>
                      <w:szCs w:val="18"/>
                    </w:rPr>
                    <w:t>Contrapărțile menționate la subpunctul 122.1.2.</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779F79" w14:textId="77777777" w:rsidR="00E30831" w:rsidRPr="002460E2" w:rsidRDefault="00E30831" w:rsidP="00E30831">
                  <w:pPr>
                    <w:rPr>
                      <w:sz w:val="18"/>
                      <w:szCs w:val="18"/>
                    </w:rPr>
                  </w:pPr>
                  <w:r w:rsidRPr="002460E2">
                    <w:rPr>
                      <w:sz w:val="18"/>
                      <w:szCs w:val="18"/>
                    </w:rPr>
                    <w:t>80 %</w:t>
                  </w:r>
                </w:p>
              </w:tc>
            </w:tr>
            <w:tr w:rsidR="00E30831" w:rsidRPr="002460E2" w14:paraId="4043C63B" w14:textId="77777777" w:rsidTr="00E30831">
              <w:trPr>
                <w:trHeight w:val="392"/>
                <w:jc w:val="center"/>
              </w:trPr>
              <w:tc>
                <w:tcPr>
                  <w:tcW w:w="24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CC34F7" w14:textId="743A0297" w:rsidR="00E30831" w:rsidRPr="002460E2" w:rsidRDefault="00E30831" w:rsidP="00E30831">
                  <w:pPr>
                    <w:rPr>
                      <w:sz w:val="18"/>
                      <w:szCs w:val="18"/>
                      <w:lang w:val="en-US"/>
                    </w:rPr>
                  </w:pPr>
                  <w:r w:rsidRPr="002460E2">
                    <w:rPr>
                      <w:sz w:val="18"/>
                      <w:szCs w:val="18"/>
                    </w:rPr>
                    <w:t>Contrapărțile menționate la subpunctul 122.1.3.</w:t>
                  </w:r>
                </w:p>
              </w:tc>
              <w:tc>
                <w:tcPr>
                  <w:tcW w:w="6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188F71" w14:textId="77777777" w:rsidR="00E30831" w:rsidRPr="002460E2" w:rsidRDefault="00E30831" w:rsidP="00E30831">
                  <w:pPr>
                    <w:rPr>
                      <w:sz w:val="18"/>
                      <w:szCs w:val="18"/>
                    </w:rPr>
                  </w:pPr>
                  <w:r w:rsidRPr="002460E2">
                    <w:rPr>
                      <w:sz w:val="18"/>
                      <w:szCs w:val="18"/>
                    </w:rPr>
                    <w:t>50 %</w:t>
                  </w:r>
                </w:p>
              </w:tc>
            </w:tr>
          </w:tbl>
          <w:p w14:paraId="36874677" w14:textId="43103D95" w:rsidR="00E30831" w:rsidRPr="002460E2" w:rsidRDefault="00E30831" w:rsidP="00DE1309">
            <w:pPr>
              <w:jc w:val="center"/>
              <w:rPr>
                <w:bCs/>
                <w:i/>
                <w:iCs/>
                <w:sz w:val="18"/>
                <w:szCs w:val="18"/>
                <w:lang w:val="en-US" w:eastAsia="en-US"/>
              </w:rPr>
            </w:pPr>
          </w:p>
        </w:tc>
        <w:tc>
          <w:tcPr>
            <w:tcW w:w="1229" w:type="dxa"/>
          </w:tcPr>
          <w:p w14:paraId="7EA70696" w14:textId="3A69FEF7" w:rsidR="00DE1309" w:rsidRPr="002460E2" w:rsidRDefault="00DE1309" w:rsidP="00DE1309">
            <w:pPr>
              <w:jc w:val="both"/>
              <w:rPr>
                <w:sz w:val="18"/>
                <w:szCs w:val="18"/>
                <w:lang w:val="ro-MD"/>
              </w:rPr>
            </w:pPr>
            <w:r w:rsidRPr="002460E2">
              <w:rPr>
                <w:sz w:val="18"/>
                <w:szCs w:val="18"/>
                <w:lang w:val="ro-MD"/>
              </w:rPr>
              <w:lastRenderedPageBreak/>
              <w:t>compatibil</w:t>
            </w:r>
          </w:p>
        </w:tc>
        <w:tc>
          <w:tcPr>
            <w:tcW w:w="5292" w:type="dxa"/>
            <w:tcBorders>
              <w:top w:val="single" w:sz="4" w:space="0" w:color="auto"/>
              <w:bottom w:val="single" w:sz="4" w:space="0" w:color="auto"/>
            </w:tcBorders>
          </w:tcPr>
          <w:p w14:paraId="68B4B402" w14:textId="374FE096" w:rsidR="00DE1309" w:rsidRPr="002460E2" w:rsidRDefault="00DE1309" w:rsidP="00DE1309">
            <w:pPr>
              <w:jc w:val="both"/>
              <w:rPr>
                <w:sz w:val="18"/>
                <w:szCs w:val="18"/>
                <w:lang w:val="ro-MD"/>
              </w:rPr>
            </w:pPr>
          </w:p>
        </w:tc>
      </w:tr>
      <w:tr w:rsidR="000876C4" w:rsidRPr="002460E2" w14:paraId="2F577FFC" w14:textId="77777777" w:rsidTr="003F5B3C">
        <w:trPr>
          <w:trHeight w:val="918"/>
        </w:trPr>
        <w:tc>
          <w:tcPr>
            <w:tcW w:w="4253" w:type="dxa"/>
          </w:tcPr>
          <w:p w14:paraId="26463628" w14:textId="2438C716" w:rsidR="000876C4" w:rsidRPr="002460E2" w:rsidRDefault="000876C4" w:rsidP="000876C4">
            <w:pPr>
              <w:rPr>
                <w:sz w:val="18"/>
                <w:szCs w:val="18"/>
                <w:lang w:val="en-US"/>
              </w:rPr>
            </w:pPr>
            <w:r w:rsidRPr="002460E2">
              <w:rPr>
                <w:sz w:val="18"/>
                <w:szCs w:val="18"/>
                <w:lang w:val="en-US"/>
              </w:rPr>
              <w:lastRenderedPageBreak/>
              <w:t>(3) O instituție care îndeplinește condiția menționată la alineatul (1) litera (b) calculează cerințele de fonduri proprii pentru riscul CVA după cum urmează:</w:t>
            </w:r>
          </w:p>
          <w:p w14:paraId="28F09999" w14:textId="77777777" w:rsidR="000876C4" w:rsidRPr="002460E2" w:rsidRDefault="000876C4" w:rsidP="000876C4">
            <w:pPr>
              <w:rPr>
                <w:sz w:val="18"/>
                <w:szCs w:val="18"/>
                <w:lang w:val="en-US"/>
              </w:rPr>
            </w:pPr>
          </w:p>
          <w:p w14:paraId="301C7418" w14:textId="031CA457" w:rsidR="000876C4" w:rsidRPr="002460E2" w:rsidRDefault="000876C4" w:rsidP="000876C4">
            <w:pPr>
              <w:rPr>
                <w:sz w:val="18"/>
                <w:szCs w:val="18"/>
                <w:lang w:val="en-US"/>
              </w:rPr>
            </w:pPr>
            <w:r w:rsidRPr="002460E2">
              <w:rPr>
                <w:noProof/>
                <w:sz w:val="18"/>
                <w:szCs w:val="18"/>
              </w:rPr>
              <w:drawing>
                <wp:inline distT="0" distB="0" distL="0" distR="0" wp14:anchorId="7CD95FFD" wp14:editId="2AD7FAA6">
                  <wp:extent cx="2424379" cy="349857"/>
                  <wp:effectExtent l="0" t="0" r="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40796" cy="352226"/>
                          </a:xfrm>
                          <a:prstGeom prst="rect">
                            <a:avLst/>
                          </a:prstGeom>
                          <a:noFill/>
                          <a:ln>
                            <a:noFill/>
                          </a:ln>
                        </pic:spPr>
                      </pic:pic>
                    </a:graphicData>
                  </a:graphic>
                </wp:inline>
              </w:drawing>
            </w:r>
          </w:p>
          <w:p w14:paraId="3A1B21FA" w14:textId="77777777" w:rsidR="000876C4" w:rsidRPr="002460E2" w:rsidRDefault="000876C4" w:rsidP="000876C4">
            <w:pPr>
              <w:rPr>
                <w:sz w:val="18"/>
                <w:szCs w:val="18"/>
                <w:lang w:val="en-US"/>
              </w:rPr>
            </w:pPr>
          </w:p>
          <w:p w14:paraId="24E44378" w14:textId="25721809" w:rsidR="000876C4" w:rsidRPr="002460E2" w:rsidRDefault="000876C4" w:rsidP="000876C4">
            <w:pPr>
              <w:rPr>
                <w:sz w:val="18"/>
                <w:szCs w:val="18"/>
                <w:lang w:val="en-US"/>
              </w:rPr>
            </w:pPr>
            <w:r w:rsidRPr="002460E2">
              <w:rPr>
                <w:sz w:val="18"/>
                <w:szCs w:val="18"/>
                <w:lang w:val="en-US"/>
              </w:rPr>
              <w:t>unde toți termenii sunt cei prevăzuți la alineatul (2).</w:t>
            </w:r>
          </w:p>
        </w:tc>
        <w:tc>
          <w:tcPr>
            <w:tcW w:w="3685" w:type="dxa"/>
            <w:shd w:val="clear" w:color="auto" w:fill="auto"/>
          </w:tcPr>
          <w:p w14:paraId="1BE6AC01" w14:textId="77777777" w:rsidR="00E30831" w:rsidRPr="002460E2" w:rsidRDefault="00E30831" w:rsidP="00FA60A4">
            <w:pPr>
              <w:rPr>
                <w:sz w:val="18"/>
                <w:szCs w:val="18"/>
                <w:lang w:val="en-US"/>
              </w:rPr>
            </w:pPr>
            <w:r w:rsidRPr="002460E2">
              <w:rPr>
                <w:sz w:val="18"/>
                <w:szCs w:val="18"/>
                <w:lang w:val="en-US"/>
              </w:rPr>
              <w:t>115. Banca care îndeplinește condiția menționată la subpunctul 113.2. calculează cerințele de fonduri proprii pentru riscul CVA după cum urmează:</w:t>
            </w:r>
          </w:p>
          <w:p w14:paraId="7B6150AA" w14:textId="77777777" w:rsidR="00E30831" w:rsidRPr="002460E2" w:rsidRDefault="00E30831" w:rsidP="00E30831">
            <w:pPr>
              <w:ind w:firstLine="425"/>
              <w:rPr>
                <w:sz w:val="18"/>
                <w:szCs w:val="18"/>
              </w:rPr>
            </w:pPr>
            <w:r w:rsidRPr="002460E2">
              <w:rPr>
                <w:noProof/>
                <w:sz w:val="18"/>
                <w:szCs w:val="18"/>
              </w:rPr>
              <w:drawing>
                <wp:inline distT="0" distB="0" distL="0" distR="0" wp14:anchorId="170F234E" wp14:editId="1CD4CD62">
                  <wp:extent cx="1768309" cy="255181"/>
                  <wp:effectExtent l="0" t="0" r="3810" b="0"/>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65240" cy="269169"/>
                          </a:xfrm>
                          <a:prstGeom prst="rect">
                            <a:avLst/>
                          </a:prstGeom>
                          <a:noFill/>
                          <a:ln>
                            <a:noFill/>
                          </a:ln>
                        </pic:spPr>
                      </pic:pic>
                    </a:graphicData>
                  </a:graphic>
                </wp:inline>
              </w:drawing>
            </w:r>
          </w:p>
          <w:p w14:paraId="5F6093B3" w14:textId="77777777" w:rsidR="00E30831" w:rsidRPr="002460E2" w:rsidRDefault="00E30831" w:rsidP="00E30831">
            <w:pPr>
              <w:ind w:firstLine="425"/>
              <w:rPr>
                <w:sz w:val="18"/>
                <w:szCs w:val="18"/>
                <w:lang w:val="it-IT"/>
              </w:rPr>
            </w:pPr>
            <w:r w:rsidRPr="002460E2">
              <w:rPr>
                <w:sz w:val="18"/>
                <w:szCs w:val="18"/>
                <w:lang w:val="it-IT"/>
              </w:rPr>
              <w:t>unde toți termenii sunt cei prevăzuți la punctul 114.</w:t>
            </w:r>
          </w:p>
          <w:p w14:paraId="63FD083E" w14:textId="77777777" w:rsidR="000876C4" w:rsidRPr="002460E2" w:rsidRDefault="000876C4" w:rsidP="000876C4">
            <w:pPr>
              <w:jc w:val="center"/>
              <w:rPr>
                <w:bCs/>
                <w:i/>
                <w:iCs/>
                <w:sz w:val="18"/>
                <w:szCs w:val="18"/>
                <w:lang w:val="it-IT" w:eastAsia="en-US"/>
              </w:rPr>
            </w:pPr>
          </w:p>
        </w:tc>
        <w:tc>
          <w:tcPr>
            <w:tcW w:w="1229" w:type="dxa"/>
          </w:tcPr>
          <w:p w14:paraId="7D320E75" w14:textId="048715CC" w:rsidR="000876C4" w:rsidRPr="002460E2" w:rsidRDefault="00233328" w:rsidP="000876C4">
            <w:pPr>
              <w:jc w:val="both"/>
              <w:rPr>
                <w:sz w:val="18"/>
                <w:szCs w:val="18"/>
                <w:lang w:val="ro-MD"/>
              </w:rPr>
            </w:pPr>
            <w:r>
              <w:rPr>
                <w:sz w:val="18"/>
                <w:szCs w:val="18"/>
                <w:lang w:val="ro-MD"/>
              </w:rPr>
              <w:t>c</w:t>
            </w:r>
            <w:r w:rsidR="000876C4" w:rsidRPr="002460E2">
              <w:rPr>
                <w:sz w:val="18"/>
                <w:szCs w:val="18"/>
                <w:lang w:val="ro-MD"/>
              </w:rPr>
              <w:t>ompatibil</w:t>
            </w:r>
          </w:p>
        </w:tc>
        <w:tc>
          <w:tcPr>
            <w:tcW w:w="5292" w:type="dxa"/>
            <w:tcBorders>
              <w:top w:val="single" w:sz="4" w:space="0" w:color="auto"/>
              <w:bottom w:val="single" w:sz="4" w:space="0" w:color="auto"/>
            </w:tcBorders>
          </w:tcPr>
          <w:p w14:paraId="046199D7" w14:textId="492B83F5" w:rsidR="000876C4" w:rsidRPr="002460E2" w:rsidRDefault="000876C4" w:rsidP="000876C4">
            <w:pPr>
              <w:jc w:val="both"/>
              <w:rPr>
                <w:sz w:val="18"/>
                <w:szCs w:val="18"/>
                <w:lang w:val="ro-MD"/>
              </w:rPr>
            </w:pPr>
          </w:p>
        </w:tc>
      </w:tr>
      <w:tr w:rsidR="00DE1309" w:rsidRPr="002460E2" w14:paraId="7CE06A37" w14:textId="77777777" w:rsidTr="003F5B3C">
        <w:trPr>
          <w:trHeight w:val="918"/>
        </w:trPr>
        <w:tc>
          <w:tcPr>
            <w:tcW w:w="4253" w:type="dxa"/>
          </w:tcPr>
          <w:p w14:paraId="340D1BA5" w14:textId="77777777" w:rsidR="00DE1309" w:rsidRPr="002460E2" w:rsidRDefault="00DE1309" w:rsidP="00DE1309">
            <w:pPr>
              <w:rPr>
                <w:i/>
                <w:iCs/>
                <w:sz w:val="18"/>
                <w:szCs w:val="18"/>
                <w:lang w:val="en-US"/>
              </w:rPr>
            </w:pPr>
            <w:r w:rsidRPr="002460E2">
              <w:rPr>
                <w:i/>
                <w:iCs/>
                <w:sz w:val="18"/>
                <w:szCs w:val="18"/>
                <w:lang w:val="en-US"/>
              </w:rPr>
              <w:t>Articolul 385</w:t>
            </w:r>
          </w:p>
          <w:p w14:paraId="75EA69D2" w14:textId="77777777" w:rsidR="00DE1309" w:rsidRPr="002460E2" w:rsidRDefault="00DE1309" w:rsidP="00DE1309">
            <w:pPr>
              <w:rPr>
                <w:b/>
                <w:bCs/>
                <w:sz w:val="18"/>
                <w:szCs w:val="18"/>
                <w:lang w:val="en-US"/>
              </w:rPr>
            </w:pPr>
            <w:r w:rsidRPr="002460E2">
              <w:rPr>
                <w:b/>
                <w:bCs/>
                <w:sz w:val="18"/>
                <w:szCs w:val="18"/>
                <w:lang w:val="en-US"/>
              </w:rPr>
              <w:t>Abordare simplificată</w:t>
            </w:r>
          </w:p>
          <w:p w14:paraId="3CEA982C" w14:textId="77777777" w:rsidR="00DE1309" w:rsidRPr="002460E2" w:rsidRDefault="00DE1309" w:rsidP="00DE1309">
            <w:pPr>
              <w:rPr>
                <w:sz w:val="18"/>
                <w:szCs w:val="18"/>
                <w:lang w:val="en-US"/>
              </w:rPr>
            </w:pPr>
            <w:r w:rsidRPr="002460E2">
              <w:rPr>
                <w:sz w:val="18"/>
                <w:szCs w:val="18"/>
                <w:lang w:val="en-US"/>
              </w:rPr>
              <w:t>(1) O instituție care îndeplinește toate condițiile prevăzute la articolul 273a alineatul (2) sau căreia autoritatea sa competentă i-a permis să aplice, în conformitate cu articolul 273a alineatul (4), abordarea prevăzută la articolul 282, poate calcula cerințele de fonduri proprii pentru riscul CVA ca fiind cuantumurile ponderate la risc ale expunerilor pentru riscul de contraparte pentru pozițiile din afara portofoliului de tranzacționare și, respectiv, pozițiile din portofoliul de tranzacționare menționate la articolul 92 alineatul (4) literele (a) și (g), împărțite la 12,5 .</w:t>
            </w:r>
          </w:p>
          <w:p w14:paraId="1A5810C5" w14:textId="77777777" w:rsidR="00DE1309" w:rsidRPr="002460E2" w:rsidRDefault="00DE1309" w:rsidP="00DE1309">
            <w:pPr>
              <w:rPr>
                <w:sz w:val="18"/>
                <w:szCs w:val="18"/>
                <w:lang w:val="en-US"/>
              </w:rPr>
            </w:pPr>
          </w:p>
        </w:tc>
        <w:tc>
          <w:tcPr>
            <w:tcW w:w="3685" w:type="dxa"/>
            <w:shd w:val="clear" w:color="auto" w:fill="auto"/>
          </w:tcPr>
          <w:p w14:paraId="28E4FC3A" w14:textId="3E1097B7" w:rsidR="00DE1309" w:rsidRPr="002460E2" w:rsidRDefault="00DE1309" w:rsidP="00DE1309">
            <w:pPr>
              <w:spacing w:after="160" w:line="259" w:lineRule="auto"/>
              <w:jc w:val="center"/>
              <w:rPr>
                <w:rFonts w:eastAsiaTheme="minorHAnsi"/>
                <w:b/>
                <w:bCs/>
                <w:sz w:val="18"/>
                <w:szCs w:val="18"/>
                <w:lang w:val="ro-MD" w:eastAsia="en-US"/>
              </w:rPr>
            </w:pPr>
            <w:r w:rsidRPr="002460E2">
              <w:rPr>
                <w:rFonts w:eastAsiaTheme="minorHAnsi"/>
                <w:b/>
                <w:bCs/>
                <w:sz w:val="18"/>
                <w:szCs w:val="18"/>
                <w:lang w:val="ro-MD" w:eastAsia="en-US"/>
              </w:rPr>
              <w:t xml:space="preserve">Capitolul V </w:t>
            </w:r>
          </w:p>
          <w:p w14:paraId="73AD10D7" w14:textId="77777777" w:rsidR="00DE1309" w:rsidRPr="002460E2" w:rsidRDefault="00DE1309" w:rsidP="00DE1309">
            <w:pPr>
              <w:spacing w:after="160" w:line="259" w:lineRule="auto"/>
              <w:jc w:val="center"/>
              <w:rPr>
                <w:rFonts w:eastAsiaTheme="minorHAnsi"/>
                <w:b/>
                <w:bCs/>
                <w:sz w:val="18"/>
                <w:szCs w:val="18"/>
                <w:lang w:val="en-US" w:eastAsia="en-US"/>
              </w:rPr>
            </w:pPr>
            <w:r w:rsidRPr="002460E2">
              <w:rPr>
                <w:rFonts w:eastAsiaTheme="minorHAnsi"/>
                <w:b/>
                <w:bCs/>
                <w:sz w:val="18"/>
                <w:szCs w:val="18"/>
                <w:lang w:val="en-US" w:eastAsia="en-US"/>
              </w:rPr>
              <w:t>Abordare simplificată</w:t>
            </w:r>
          </w:p>
          <w:p w14:paraId="3F88242B" w14:textId="2FB4FCF9" w:rsidR="00DE1309" w:rsidRPr="002460E2" w:rsidRDefault="00FA60A4" w:rsidP="00DE1309">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116. Banca care, în conformitate cu Regulamentul nr. 220/2025 _ din_ cu privire la tratamentul riscului de credit al contrapărţii pentru bănci, îndeplinește toate condițiile pentru utilizarea metodelor simplificate de calculare a valorii expunerii sau căreia Banca Națională a Moldovei i-a permis să aplice  abordarea prevăzută în metoda  expunerii inițiale, poate calcula cerințele de fonduri proprii pentru riscul CVA ca fiind cuantumurile ponderate la risc ale expunerilor pentru riscul de contraparte pentru pozițiile din afara portofoliului de tranzacționare și, respectiv, pozițiile din portofoliul de tranzacționare menționate în prevederile reglementărilor aferente  fondurilor proprii ale băncilor şi cerinţelor de capital, împărțite la 10.</w:t>
            </w:r>
          </w:p>
        </w:tc>
        <w:tc>
          <w:tcPr>
            <w:tcW w:w="1229" w:type="dxa"/>
          </w:tcPr>
          <w:p w14:paraId="64E04DDA" w14:textId="5C393CAD"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0C1781EF" w14:textId="77777777" w:rsidR="00DE1309" w:rsidRPr="002460E2" w:rsidRDefault="00DE1309" w:rsidP="00DE1309">
            <w:pPr>
              <w:jc w:val="both"/>
              <w:rPr>
                <w:sz w:val="18"/>
                <w:szCs w:val="18"/>
                <w:lang w:val="ro-MD"/>
              </w:rPr>
            </w:pPr>
          </w:p>
        </w:tc>
      </w:tr>
      <w:tr w:rsidR="00DE1309" w:rsidRPr="002460E2" w14:paraId="7B168A23" w14:textId="77777777" w:rsidTr="003F5B3C">
        <w:trPr>
          <w:trHeight w:val="918"/>
        </w:trPr>
        <w:tc>
          <w:tcPr>
            <w:tcW w:w="4253" w:type="dxa"/>
          </w:tcPr>
          <w:p w14:paraId="0EB33AFA" w14:textId="2BCE1CA0" w:rsidR="00DE1309" w:rsidRPr="002460E2" w:rsidRDefault="00DE1309" w:rsidP="00DE1309">
            <w:pPr>
              <w:rPr>
                <w:sz w:val="18"/>
                <w:szCs w:val="18"/>
                <w:lang w:val="en-US"/>
              </w:rPr>
            </w:pPr>
            <w:r w:rsidRPr="002460E2">
              <w:rPr>
                <w:sz w:val="18"/>
                <w:szCs w:val="18"/>
                <w:lang w:val="en-US"/>
              </w:rPr>
              <w:t>(2) În scopul calculului menționat la alineatul (1), se aplică următoarele cerințe:</w:t>
            </w:r>
          </w:p>
          <w:p w14:paraId="11BEB9C9" w14:textId="1D2CF0FB" w:rsidR="00DE1309" w:rsidRPr="002460E2" w:rsidRDefault="00DE1309" w:rsidP="00DE1309">
            <w:pPr>
              <w:rPr>
                <w:sz w:val="18"/>
                <w:szCs w:val="18"/>
                <w:lang w:val="en-US"/>
              </w:rPr>
            </w:pPr>
            <w:r w:rsidRPr="002460E2">
              <w:rPr>
                <w:sz w:val="18"/>
                <w:szCs w:val="18"/>
                <w:lang w:val="en-US"/>
              </w:rPr>
              <w:t>(a) numai tranzacțiile supuse cerințelor de fonduri proprii pentru riscul CVA prevăzute la articolul 382 fac obiectul acestui calcul;</w:t>
            </w:r>
          </w:p>
          <w:p w14:paraId="17C9F4D9" w14:textId="60259244" w:rsidR="00DE1309" w:rsidRPr="002460E2" w:rsidRDefault="00DE1309" w:rsidP="00DE1309">
            <w:pPr>
              <w:rPr>
                <w:sz w:val="18"/>
                <w:szCs w:val="18"/>
                <w:lang w:val="en-US"/>
              </w:rPr>
            </w:pPr>
            <w:r w:rsidRPr="002460E2">
              <w:rPr>
                <w:sz w:val="18"/>
                <w:szCs w:val="18"/>
                <w:lang w:val="en-US"/>
              </w:rPr>
              <w:lastRenderedPageBreak/>
              <w:t>(b) instrumentele financiare derivate de credit care sunt recunoscute ca acoperiri interne împotriva expunerilor la riscul de contraparte nu se includ în acest calcul.</w:t>
            </w:r>
          </w:p>
          <w:p w14:paraId="4F264059" w14:textId="77777777" w:rsidR="00DE1309" w:rsidRPr="002460E2" w:rsidRDefault="00DE1309" w:rsidP="00DE1309">
            <w:pPr>
              <w:rPr>
                <w:sz w:val="18"/>
                <w:szCs w:val="18"/>
                <w:lang w:val="en-US"/>
              </w:rPr>
            </w:pPr>
          </w:p>
        </w:tc>
        <w:tc>
          <w:tcPr>
            <w:tcW w:w="3685" w:type="dxa"/>
            <w:shd w:val="clear" w:color="auto" w:fill="auto"/>
          </w:tcPr>
          <w:p w14:paraId="600289CE" w14:textId="77777777" w:rsidR="00FA60A4" w:rsidRPr="00FA60A4" w:rsidRDefault="00FA60A4" w:rsidP="00FA60A4">
            <w:pPr>
              <w:spacing w:after="160" w:line="259" w:lineRule="auto"/>
              <w:jc w:val="both"/>
              <w:rPr>
                <w:rFonts w:eastAsiaTheme="minorHAnsi"/>
                <w:sz w:val="18"/>
                <w:szCs w:val="18"/>
                <w:lang w:val="ro-RO" w:eastAsia="en-US"/>
              </w:rPr>
            </w:pPr>
            <w:r w:rsidRPr="00FA60A4">
              <w:rPr>
                <w:rFonts w:eastAsiaTheme="minorHAnsi"/>
                <w:sz w:val="18"/>
                <w:szCs w:val="18"/>
                <w:lang w:val="ro-RO" w:eastAsia="en-US"/>
              </w:rPr>
              <w:lastRenderedPageBreak/>
              <w:t>117. În scopul calculului menționat la punctul 116, se aplică următoarele cerințe:</w:t>
            </w:r>
          </w:p>
          <w:p w14:paraId="5C6D9C9E" w14:textId="77777777" w:rsidR="00FA60A4" w:rsidRPr="00FA60A4" w:rsidRDefault="00FA60A4" w:rsidP="00FA60A4">
            <w:pPr>
              <w:spacing w:after="160" w:line="259" w:lineRule="auto"/>
              <w:jc w:val="both"/>
              <w:rPr>
                <w:rFonts w:eastAsiaTheme="minorHAnsi"/>
                <w:sz w:val="18"/>
                <w:szCs w:val="18"/>
                <w:lang w:val="ro-RO" w:eastAsia="en-US"/>
              </w:rPr>
            </w:pPr>
            <w:r w:rsidRPr="00FA60A4">
              <w:rPr>
                <w:rFonts w:eastAsiaTheme="minorHAnsi"/>
                <w:sz w:val="18"/>
                <w:szCs w:val="18"/>
                <w:lang w:val="ro-RO" w:eastAsia="en-US"/>
              </w:rPr>
              <w:lastRenderedPageBreak/>
              <w:t>117.1. doar tranzacțiile supuse cerințelor de fonduri proprii pentru riscul CVA prevăzute la punctele 4 -10 fac obiectul acestui calcul;</w:t>
            </w:r>
          </w:p>
          <w:p w14:paraId="097F7B1D" w14:textId="7B43D026" w:rsidR="00DE1309" w:rsidRPr="002460E2" w:rsidRDefault="00FA60A4" w:rsidP="00DE1309">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117.2. instrumentele financiare derivate de credit care sunt recunoscute ca acoperiri interne împotriva expunerilor la riscul de contraparte nu se includ în acest calcul.</w:t>
            </w:r>
          </w:p>
        </w:tc>
        <w:tc>
          <w:tcPr>
            <w:tcW w:w="1229" w:type="dxa"/>
          </w:tcPr>
          <w:p w14:paraId="7AA2C6C5" w14:textId="2AB75AC3"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51B07F75" w14:textId="77777777" w:rsidR="00DE1309" w:rsidRPr="002460E2" w:rsidRDefault="00DE1309" w:rsidP="00DE1309">
            <w:pPr>
              <w:jc w:val="both"/>
              <w:rPr>
                <w:sz w:val="18"/>
                <w:szCs w:val="18"/>
                <w:lang w:val="ro-MD"/>
              </w:rPr>
            </w:pPr>
          </w:p>
        </w:tc>
      </w:tr>
      <w:tr w:rsidR="00DE1309" w:rsidRPr="002460E2" w14:paraId="195E2967" w14:textId="77777777" w:rsidTr="003F5B3C">
        <w:trPr>
          <w:trHeight w:val="918"/>
        </w:trPr>
        <w:tc>
          <w:tcPr>
            <w:tcW w:w="4253" w:type="dxa"/>
          </w:tcPr>
          <w:p w14:paraId="0167A2E9" w14:textId="77777777" w:rsidR="00DE1309" w:rsidRPr="002460E2" w:rsidRDefault="00DE1309" w:rsidP="00DE1309">
            <w:pPr>
              <w:rPr>
                <w:sz w:val="18"/>
                <w:szCs w:val="18"/>
                <w:lang w:val="en-US"/>
              </w:rPr>
            </w:pPr>
            <w:r w:rsidRPr="002460E2">
              <w:rPr>
                <w:sz w:val="18"/>
                <w:szCs w:val="18"/>
                <w:lang w:val="en-US"/>
              </w:rPr>
              <w:t>(3) O instituție care nu mai îndeplinește una sau mai multe dintre condițiile prevăzute la articolul 273a alineatul (2) sau, după caz, alineatul (4) se conformează cerințelor prevăzute la articolul 273b.</w:t>
            </w:r>
          </w:p>
          <w:p w14:paraId="49DE5472" w14:textId="77777777" w:rsidR="00DE1309" w:rsidRPr="002460E2" w:rsidRDefault="00DE1309" w:rsidP="00DE1309">
            <w:pPr>
              <w:rPr>
                <w:i/>
                <w:iCs/>
                <w:sz w:val="18"/>
                <w:szCs w:val="18"/>
                <w:lang w:val="en-US"/>
              </w:rPr>
            </w:pPr>
          </w:p>
        </w:tc>
        <w:tc>
          <w:tcPr>
            <w:tcW w:w="3685" w:type="dxa"/>
            <w:shd w:val="clear" w:color="auto" w:fill="auto"/>
          </w:tcPr>
          <w:p w14:paraId="715A6F6E" w14:textId="6CF7FAFE" w:rsidR="00DE1309" w:rsidRPr="002460E2" w:rsidRDefault="00FA60A4" w:rsidP="00FA60A4">
            <w:pPr>
              <w:spacing w:after="160" w:line="259" w:lineRule="auto"/>
              <w:jc w:val="both"/>
              <w:rPr>
                <w:rFonts w:eastAsiaTheme="minorHAnsi"/>
                <w:b/>
                <w:bCs/>
                <w:sz w:val="18"/>
                <w:szCs w:val="18"/>
                <w:lang w:val="ro-RO" w:eastAsia="en-US"/>
              </w:rPr>
            </w:pPr>
            <w:r w:rsidRPr="00FA60A4">
              <w:rPr>
                <w:rFonts w:eastAsiaTheme="minorHAnsi"/>
                <w:sz w:val="18"/>
                <w:szCs w:val="18"/>
                <w:lang w:val="ro-RO" w:eastAsia="en-US"/>
              </w:rPr>
              <w:t>118. Banca care nu mai îndeplinește una sau mai multe dintre condiţiile pentru utilizarea metodelor simplificate de calculare a valorii expunerii se conformează prevederilor aferente nerespectării condiţiilor pentru utilizarea metodelor simplificate de calculare a valorii expunerii pentru instrumentele financiare derivate prevăzute în Regulamentul nr.220/2025 cu privire la tratamentul riscului de credit al contrapărţii pentru bănci.</w:t>
            </w:r>
          </w:p>
        </w:tc>
        <w:tc>
          <w:tcPr>
            <w:tcW w:w="1229" w:type="dxa"/>
          </w:tcPr>
          <w:p w14:paraId="3571BCE2" w14:textId="66CC725F" w:rsidR="00DE1309" w:rsidRPr="002460E2" w:rsidRDefault="00FA60A4" w:rsidP="00DE1309">
            <w:pPr>
              <w:jc w:val="both"/>
              <w:rPr>
                <w:sz w:val="18"/>
                <w:szCs w:val="18"/>
                <w:lang w:val="ro-MD"/>
              </w:rPr>
            </w:pPr>
            <w:r w:rsidRPr="002460E2">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6767EF8F" w14:textId="77777777" w:rsidR="00DE1309" w:rsidRPr="002460E2" w:rsidRDefault="00DE1309" w:rsidP="00DE1309">
            <w:pPr>
              <w:jc w:val="both"/>
              <w:rPr>
                <w:sz w:val="18"/>
                <w:szCs w:val="18"/>
                <w:lang w:val="ro-MD"/>
              </w:rPr>
            </w:pPr>
          </w:p>
        </w:tc>
      </w:tr>
      <w:tr w:rsidR="00DE1309" w:rsidRPr="002460E2" w14:paraId="60ECC262" w14:textId="77777777" w:rsidTr="003F5B3C">
        <w:trPr>
          <w:trHeight w:val="918"/>
        </w:trPr>
        <w:tc>
          <w:tcPr>
            <w:tcW w:w="4253" w:type="dxa"/>
          </w:tcPr>
          <w:p w14:paraId="481D4DB6" w14:textId="77777777" w:rsidR="00DE1309" w:rsidRPr="002460E2" w:rsidRDefault="00DE1309" w:rsidP="00DE1309">
            <w:pPr>
              <w:rPr>
                <w:i/>
                <w:iCs/>
                <w:sz w:val="18"/>
                <w:szCs w:val="18"/>
                <w:lang w:val="en-US"/>
              </w:rPr>
            </w:pPr>
            <w:r w:rsidRPr="002460E2">
              <w:rPr>
                <w:i/>
                <w:iCs/>
                <w:sz w:val="18"/>
                <w:szCs w:val="18"/>
                <w:lang w:val="en-US"/>
              </w:rPr>
              <w:t>Articolul 386</w:t>
            </w:r>
          </w:p>
          <w:p w14:paraId="273B2C4A" w14:textId="77777777" w:rsidR="00DE1309" w:rsidRPr="002460E2" w:rsidRDefault="00DE1309" w:rsidP="00DE1309">
            <w:pPr>
              <w:rPr>
                <w:b/>
                <w:bCs/>
                <w:sz w:val="18"/>
                <w:szCs w:val="18"/>
                <w:lang w:val="en-US"/>
              </w:rPr>
            </w:pPr>
            <w:r w:rsidRPr="002460E2">
              <w:rPr>
                <w:b/>
                <w:bCs/>
                <w:sz w:val="18"/>
                <w:szCs w:val="18"/>
                <w:lang w:val="en-US"/>
              </w:rPr>
              <w:t>Acoperiri eligibile</w:t>
            </w:r>
          </w:p>
          <w:p w14:paraId="4F69BE07" w14:textId="2B6A266B" w:rsidR="00DE1309" w:rsidRPr="002460E2" w:rsidRDefault="00DE1309" w:rsidP="00DE1309">
            <w:pPr>
              <w:rPr>
                <w:sz w:val="18"/>
                <w:szCs w:val="18"/>
                <w:lang w:val="en-US"/>
              </w:rPr>
            </w:pPr>
            <w:r w:rsidRPr="002460E2">
              <w:rPr>
                <w:sz w:val="18"/>
                <w:szCs w:val="18"/>
                <w:lang w:val="en-US"/>
              </w:rPr>
              <w:t>(1) Pozițiile pe instrumente de acoperire sunt recunoscute ca „acoperiri eligibile” pentru calcularea cerințelor de fonduri proprii pentru riscul CVA în conformitate cu articolele 383 și 384 dacă pozițiile respective îndeplinesc toate cerințele următoare:</w:t>
            </w:r>
          </w:p>
          <w:p w14:paraId="2DD74EEB" w14:textId="2250A0AD" w:rsidR="00DE1309" w:rsidRPr="002460E2" w:rsidRDefault="00DE1309" w:rsidP="00DE1309">
            <w:pPr>
              <w:rPr>
                <w:sz w:val="18"/>
                <w:szCs w:val="18"/>
                <w:lang w:val="en-US"/>
              </w:rPr>
            </w:pPr>
            <w:r w:rsidRPr="002460E2">
              <w:rPr>
                <w:sz w:val="18"/>
                <w:szCs w:val="18"/>
                <w:lang w:val="en-US"/>
              </w:rPr>
              <w:t>(a) sunt utilizate în scopul diminuării riscului CVA și sunt gestionate ca atare;</w:t>
            </w:r>
          </w:p>
          <w:p w14:paraId="43123005" w14:textId="0A30E378" w:rsidR="00DE1309" w:rsidRPr="002460E2" w:rsidRDefault="00DE1309" w:rsidP="00DE1309">
            <w:pPr>
              <w:rPr>
                <w:sz w:val="18"/>
                <w:szCs w:val="18"/>
                <w:lang w:val="en-US"/>
              </w:rPr>
            </w:pPr>
            <w:r w:rsidRPr="002460E2">
              <w:rPr>
                <w:sz w:val="18"/>
                <w:szCs w:val="18"/>
                <w:lang w:val="en-US"/>
              </w:rPr>
              <w:t>(b) pot fi deschise cu părți terțe sau cu portofoliul de tranzacționare al instituției ca acoperire internă, caz în care trebuie să respecte articolul 106 alineatul (7);</w:t>
            </w:r>
          </w:p>
          <w:p w14:paraId="5D10C658" w14:textId="1093252C" w:rsidR="00DE1309" w:rsidRPr="002460E2" w:rsidRDefault="00DE1309" w:rsidP="00DE1309">
            <w:pPr>
              <w:rPr>
                <w:sz w:val="18"/>
                <w:szCs w:val="18"/>
                <w:lang w:val="en-US"/>
              </w:rPr>
            </w:pPr>
            <w:r w:rsidRPr="002460E2">
              <w:rPr>
                <w:sz w:val="18"/>
                <w:szCs w:val="18"/>
                <w:lang w:val="en-US"/>
              </w:rPr>
              <w:t xml:space="preserve">(c) numai pozițiile pe instrumentele de acoperire menționate la alineatele (2) și (3) de la prezentul articol pot fi recunoscute ca acoperiri eligibile pentru calcularea cerințelor de fonduri proprii pentru riscul </w:t>
            </w:r>
            <w:r w:rsidRPr="002460E2">
              <w:rPr>
                <w:sz w:val="18"/>
                <w:szCs w:val="18"/>
                <w:lang w:val="en-US"/>
              </w:rPr>
              <w:lastRenderedPageBreak/>
              <w:t>CVA în conformitate cu articolele 383 și, respectiv, 384.</w:t>
            </w:r>
          </w:p>
          <w:p w14:paraId="2CD3A07C" w14:textId="1CB8B1A3" w:rsidR="00DE1309" w:rsidRPr="002460E2" w:rsidRDefault="00DE1309" w:rsidP="00DE1309">
            <w:pPr>
              <w:rPr>
                <w:sz w:val="18"/>
                <w:szCs w:val="18"/>
                <w:lang w:val="en-US"/>
              </w:rPr>
            </w:pPr>
            <w:r w:rsidRPr="002460E2">
              <w:rPr>
                <w:sz w:val="18"/>
                <w:szCs w:val="18"/>
                <w:lang w:val="en-US"/>
              </w:rPr>
              <w:t>În scopul calculării cerințelor de fonduri proprii pentru riscul CVA în conformitate cu articolul 383, pozițiile pe instrumente de acoperire sunt recunoscute drept acoperiri eligibile în cazul în care, pe lângă condițiile prevăzute la literele (a)-(c) de la prezentul alineat, aceste instrumente de acoperire formează o singură poziție în cadrul unei acoperiri eligibile și nu sunt împărțite în mai mult de o poziție în cadrul mai multor acoperiri eligibile.</w:t>
            </w:r>
          </w:p>
        </w:tc>
        <w:tc>
          <w:tcPr>
            <w:tcW w:w="3685" w:type="dxa"/>
            <w:shd w:val="clear" w:color="auto" w:fill="auto"/>
          </w:tcPr>
          <w:p w14:paraId="7718920A" w14:textId="1D99243E" w:rsidR="00DE1309" w:rsidRPr="002460E2" w:rsidRDefault="00DE1309" w:rsidP="00DE1309">
            <w:pPr>
              <w:spacing w:after="160" w:line="259" w:lineRule="auto"/>
              <w:jc w:val="center"/>
              <w:rPr>
                <w:rFonts w:eastAsiaTheme="minorHAnsi"/>
                <w:b/>
                <w:bCs/>
                <w:sz w:val="18"/>
                <w:szCs w:val="18"/>
                <w:lang w:val="ro-MD" w:eastAsia="en-US"/>
              </w:rPr>
            </w:pPr>
            <w:r w:rsidRPr="002460E2">
              <w:rPr>
                <w:rFonts w:eastAsiaTheme="minorHAnsi"/>
                <w:b/>
                <w:bCs/>
                <w:sz w:val="18"/>
                <w:szCs w:val="18"/>
                <w:lang w:val="ro-MD" w:eastAsia="en-US"/>
              </w:rPr>
              <w:lastRenderedPageBreak/>
              <w:t xml:space="preserve">Capitolul VI </w:t>
            </w:r>
          </w:p>
          <w:p w14:paraId="04A76F04" w14:textId="77777777" w:rsidR="00DE1309" w:rsidRPr="002460E2" w:rsidRDefault="00DE1309" w:rsidP="00DE1309">
            <w:pPr>
              <w:spacing w:after="160" w:line="259" w:lineRule="auto"/>
              <w:jc w:val="center"/>
              <w:rPr>
                <w:rFonts w:eastAsiaTheme="minorHAnsi"/>
                <w:b/>
                <w:bCs/>
                <w:sz w:val="18"/>
                <w:szCs w:val="18"/>
                <w:lang w:val="en-US" w:eastAsia="en-US"/>
              </w:rPr>
            </w:pPr>
            <w:r w:rsidRPr="002460E2">
              <w:rPr>
                <w:rFonts w:eastAsiaTheme="minorHAnsi"/>
                <w:b/>
                <w:bCs/>
                <w:sz w:val="18"/>
                <w:szCs w:val="18"/>
                <w:lang w:val="en-US" w:eastAsia="en-US"/>
              </w:rPr>
              <w:t>Acoperiri eligibile</w:t>
            </w:r>
          </w:p>
          <w:p w14:paraId="51A931B6" w14:textId="77777777" w:rsidR="00FA60A4" w:rsidRPr="00FA60A4" w:rsidRDefault="00FA60A4" w:rsidP="00FA60A4">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 xml:space="preserve">119. Pozițiile pe instrumente de acoperire sunt recunoscute ca „acoperiri eligibile” pentru calcularea cerințelor de fonduri proprii pentru riscul CVA în conformitate cu punctele 17-20 </w:t>
            </w:r>
            <w:r w:rsidRPr="00FA60A4">
              <w:rPr>
                <w:rFonts w:eastAsiaTheme="minorHAnsi"/>
                <w:sz w:val="18"/>
                <w:szCs w:val="18"/>
                <w:lang w:val="ro-MD" w:eastAsia="en-US"/>
              </w:rPr>
              <w:t>și 113-115,</w:t>
            </w:r>
            <w:r w:rsidRPr="00FA60A4">
              <w:rPr>
                <w:rFonts w:eastAsiaTheme="minorHAnsi"/>
                <w:sz w:val="18"/>
                <w:szCs w:val="18"/>
                <w:lang w:val="ro-RO" w:eastAsia="en-US"/>
              </w:rPr>
              <w:t xml:space="preserve"> în cazul în care pozițiile respective îndeplinesc toate cerințele următoare:</w:t>
            </w:r>
          </w:p>
          <w:p w14:paraId="62E504B5" w14:textId="77777777" w:rsidR="00FA60A4" w:rsidRPr="00FA60A4" w:rsidRDefault="00FA60A4" w:rsidP="00FA60A4">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 xml:space="preserve">119.1. sunt utilizate în scopul diminuării riscului CVA și sunt gestionate </w:t>
            </w:r>
            <w:r w:rsidRPr="00FA60A4">
              <w:rPr>
                <w:rFonts w:eastAsiaTheme="minorHAnsi"/>
                <w:sz w:val="18"/>
                <w:szCs w:val="18"/>
                <w:lang w:val="it-IT" w:eastAsia="en-US"/>
              </w:rPr>
              <w:t>în mod corespunzator</w:t>
            </w:r>
            <w:r w:rsidRPr="00FA60A4">
              <w:rPr>
                <w:rFonts w:eastAsiaTheme="minorHAnsi"/>
                <w:sz w:val="18"/>
                <w:szCs w:val="18"/>
                <w:lang w:val="ro-RO" w:eastAsia="en-US"/>
              </w:rPr>
              <w:t>;</w:t>
            </w:r>
          </w:p>
          <w:p w14:paraId="06F27BAF" w14:textId="77777777" w:rsidR="00FA60A4" w:rsidRPr="00FA60A4" w:rsidRDefault="00FA60A4" w:rsidP="00FA60A4">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 xml:space="preserve">119.2. pot fi deschise cu părți terțe sau cu portofoliul de tranzacționare al băncii ca acoperire internă, caz în care trebuie să respecte </w:t>
            </w:r>
            <w:r w:rsidRPr="00FA60A4">
              <w:rPr>
                <w:rFonts w:eastAsiaTheme="minorHAnsi"/>
                <w:sz w:val="18"/>
                <w:szCs w:val="18"/>
                <w:lang w:val="ro-RO" w:eastAsia="en-US"/>
              </w:rPr>
              <w:lastRenderedPageBreak/>
              <w:t xml:space="preserve">prevederile </w:t>
            </w:r>
            <w:r w:rsidRPr="00FA60A4">
              <w:rPr>
                <w:rFonts w:eastAsiaTheme="minorHAnsi"/>
                <w:sz w:val="18"/>
                <w:szCs w:val="18"/>
                <w:lang w:val="ro-MD" w:eastAsia="en-US"/>
              </w:rPr>
              <w:t>menționate în actele normative aferente tratamentului riscului de piaţă potrivit abordării standardizate</w:t>
            </w:r>
            <w:r w:rsidRPr="00FA60A4">
              <w:rPr>
                <w:rFonts w:eastAsiaTheme="minorHAnsi"/>
                <w:sz w:val="18"/>
                <w:szCs w:val="18"/>
                <w:lang w:val="ro-RO" w:eastAsia="en-US"/>
              </w:rPr>
              <w:t>;</w:t>
            </w:r>
          </w:p>
          <w:p w14:paraId="51514D05" w14:textId="77777777" w:rsidR="00DE1309" w:rsidRPr="002460E2" w:rsidRDefault="00FA60A4" w:rsidP="00DE1309">
            <w:pPr>
              <w:spacing w:after="160" w:line="259" w:lineRule="auto"/>
              <w:jc w:val="both"/>
              <w:rPr>
                <w:rFonts w:eastAsiaTheme="minorHAnsi"/>
                <w:sz w:val="18"/>
                <w:szCs w:val="18"/>
                <w:lang w:val="ro-RO" w:eastAsia="en-US"/>
              </w:rPr>
            </w:pPr>
            <w:r w:rsidRPr="00FA60A4">
              <w:rPr>
                <w:rFonts w:eastAsiaTheme="minorHAnsi"/>
                <w:sz w:val="18"/>
                <w:szCs w:val="18"/>
                <w:lang w:val="ro-RO" w:eastAsia="en-US"/>
              </w:rPr>
              <w:t>119.3. doar pozițiile pe instrumentele de acoperire menționate la punctele 121 și 122  pot fi recunoscute ca acoperiri eligibile pentru calcularea cerințelor de fonduri proprii pentru riscul CVA în conformitate cu punctele 17-20 și 113-115.</w:t>
            </w:r>
          </w:p>
          <w:p w14:paraId="4DC06D05" w14:textId="37C9BB60" w:rsidR="00FA60A4" w:rsidRPr="002460E2" w:rsidRDefault="00FA60A4" w:rsidP="00FA60A4">
            <w:pPr>
              <w:jc w:val="both"/>
              <w:rPr>
                <w:sz w:val="18"/>
                <w:szCs w:val="18"/>
                <w:lang w:val="ro-RO"/>
              </w:rPr>
            </w:pPr>
            <w:r w:rsidRPr="002460E2">
              <w:rPr>
                <w:sz w:val="18"/>
                <w:szCs w:val="18"/>
                <w:lang w:val="ro-RO"/>
              </w:rPr>
              <w:t>120. În scopul calculării cerințelor de fonduri proprii pentru riscul CVA în conformitate cu punctele 17-20, pozițiile pe instrumente de acoperire sunt recunoscute drept acoperiri eligibile în cazul în care, pe lângă condițiile prevăzute la subpunctele 119.1 -119.3, aceste instrumente de acoperire formează o singură poziție în cadrul unei acoperiri eligibile și nu sunt împărțite în mai mult de o poziție în cadrul mai multor acoperiri eligibile.</w:t>
            </w:r>
          </w:p>
        </w:tc>
        <w:tc>
          <w:tcPr>
            <w:tcW w:w="1229" w:type="dxa"/>
          </w:tcPr>
          <w:p w14:paraId="6A232697" w14:textId="655AE264" w:rsidR="00DE1309" w:rsidRPr="002460E2" w:rsidRDefault="00FA60A4" w:rsidP="00DE1309">
            <w:pPr>
              <w:jc w:val="both"/>
              <w:rPr>
                <w:sz w:val="18"/>
                <w:szCs w:val="18"/>
                <w:lang w:val="ro-MD"/>
              </w:rPr>
            </w:pPr>
            <w:r w:rsidRPr="002460E2">
              <w:rPr>
                <w:sz w:val="18"/>
                <w:szCs w:val="18"/>
                <w:lang w:val="ro-MD"/>
              </w:rPr>
              <w:lastRenderedPageBreak/>
              <w:t>compatibil</w:t>
            </w:r>
          </w:p>
        </w:tc>
        <w:tc>
          <w:tcPr>
            <w:tcW w:w="5292" w:type="dxa"/>
            <w:tcBorders>
              <w:top w:val="single" w:sz="4" w:space="0" w:color="auto"/>
              <w:bottom w:val="single" w:sz="4" w:space="0" w:color="auto"/>
            </w:tcBorders>
          </w:tcPr>
          <w:p w14:paraId="618C5D86" w14:textId="2EC900F1" w:rsidR="00DE1309" w:rsidRPr="002460E2" w:rsidRDefault="00DE1309" w:rsidP="00DE1309">
            <w:pPr>
              <w:jc w:val="both"/>
              <w:rPr>
                <w:sz w:val="18"/>
                <w:szCs w:val="18"/>
                <w:lang w:val="ro-RO"/>
              </w:rPr>
            </w:pPr>
          </w:p>
        </w:tc>
      </w:tr>
      <w:tr w:rsidR="00DE1309" w:rsidRPr="002460E2" w14:paraId="46A34F92" w14:textId="77777777" w:rsidTr="003F5B3C">
        <w:trPr>
          <w:trHeight w:val="711"/>
        </w:trPr>
        <w:tc>
          <w:tcPr>
            <w:tcW w:w="4253" w:type="dxa"/>
          </w:tcPr>
          <w:p w14:paraId="3095909E" w14:textId="77777777" w:rsidR="00DE1309" w:rsidRPr="002460E2" w:rsidRDefault="00DE1309" w:rsidP="00DE1309">
            <w:pPr>
              <w:rPr>
                <w:sz w:val="18"/>
                <w:szCs w:val="18"/>
                <w:lang w:val="en-US"/>
              </w:rPr>
            </w:pPr>
            <w:r w:rsidRPr="002460E2">
              <w:rPr>
                <w:sz w:val="18"/>
                <w:szCs w:val="18"/>
                <w:lang w:val="en-US"/>
              </w:rPr>
              <w:t>(2) Pentru calcularea cerințelor de fonduri proprii pentru riscul CVA în conformitate cu articolul 383, numai pozițiile pe următoarele instrumente de acoperire sunt recunoscute ca acoperiri eligibile:</w:t>
            </w:r>
          </w:p>
          <w:p w14:paraId="74D9BD4F" w14:textId="77777777" w:rsidR="00DE1309" w:rsidRPr="002460E2" w:rsidRDefault="00DE1309" w:rsidP="00DE1309">
            <w:pPr>
              <w:rPr>
                <w:sz w:val="18"/>
                <w:szCs w:val="18"/>
                <w:lang w:val="en-US"/>
              </w:rPr>
            </w:pPr>
            <w:r w:rsidRPr="002460E2">
              <w:rPr>
                <w:sz w:val="18"/>
                <w:szCs w:val="18"/>
                <w:lang w:val="en-US"/>
              </w:rPr>
              <w:t>(a) instrumentele care acoperă variabilitatea marjei de credit a contrapărții, cu excepția instrumentelor menționate la articolul 325 alineatul (5);</w:t>
            </w:r>
          </w:p>
          <w:p w14:paraId="5F884BED" w14:textId="251E769A" w:rsidR="00DE1309" w:rsidRPr="002460E2" w:rsidRDefault="00DE1309" w:rsidP="00DE1309">
            <w:pPr>
              <w:rPr>
                <w:sz w:val="18"/>
                <w:szCs w:val="18"/>
                <w:lang w:val="en-US"/>
              </w:rPr>
            </w:pPr>
            <w:r w:rsidRPr="002460E2">
              <w:rPr>
                <w:sz w:val="18"/>
                <w:szCs w:val="18"/>
                <w:lang w:val="en-US"/>
              </w:rPr>
              <w:t>(b) instrumentele care acoperă variabilitatea componentei de expunere a riscului CVA, cu excepția instrumentelor menționate la articolul 325 alineatul (5).</w:t>
            </w:r>
          </w:p>
        </w:tc>
        <w:tc>
          <w:tcPr>
            <w:tcW w:w="3685" w:type="dxa"/>
            <w:shd w:val="clear" w:color="auto" w:fill="auto"/>
          </w:tcPr>
          <w:p w14:paraId="1FBB2252" w14:textId="77777777" w:rsidR="009A03AA" w:rsidRPr="009A03AA" w:rsidRDefault="009A03AA" w:rsidP="009A03AA">
            <w:pPr>
              <w:spacing w:after="160" w:line="259" w:lineRule="auto"/>
              <w:jc w:val="both"/>
              <w:rPr>
                <w:rFonts w:eastAsiaTheme="minorHAnsi"/>
                <w:sz w:val="18"/>
                <w:szCs w:val="18"/>
                <w:lang w:val="ro-RO" w:eastAsia="en-US"/>
              </w:rPr>
            </w:pPr>
            <w:r w:rsidRPr="009A03AA">
              <w:rPr>
                <w:rFonts w:eastAsiaTheme="minorHAnsi"/>
                <w:sz w:val="18"/>
                <w:szCs w:val="18"/>
                <w:lang w:val="ro-RO" w:eastAsia="en-US"/>
              </w:rPr>
              <w:t>121. Pentru calcularea cerințelor de fonduri proprii pentru riscul CVA în conformitate cu punctele 17-20, doar pozițiile pe următoarele instrumente de acoperire sunt recunoscute ca acoperiri eligibile:</w:t>
            </w:r>
          </w:p>
          <w:p w14:paraId="69205910" w14:textId="77777777" w:rsidR="009A03AA" w:rsidRPr="009A03AA" w:rsidRDefault="009A03AA" w:rsidP="009A03AA">
            <w:pPr>
              <w:spacing w:after="160" w:line="259" w:lineRule="auto"/>
              <w:jc w:val="both"/>
              <w:rPr>
                <w:rFonts w:eastAsiaTheme="minorHAnsi"/>
                <w:sz w:val="18"/>
                <w:szCs w:val="18"/>
                <w:lang w:val="ro-RO" w:eastAsia="en-US"/>
              </w:rPr>
            </w:pPr>
            <w:r w:rsidRPr="009A03AA">
              <w:rPr>
                <w:rFonts w:eastAsiaTheme="minorHAnsi"/>
                <w:sz w:val="18"/>
                <w:szCs w:val="18"/>
                <w:lang w:val="ro-RO" w:eastAsia="en-US"/>
              </w:rPr>
              <w:t xml:space="preserve">121.1. instrumentele care acoperă variabilitatea marjei de credit a contrapărții, cu excepția instrumentelor menționate </w:t>
            </w:r>
            <w:bookmarkStart w:id="16" w:name="_Hlk199164943"/>
            <w:r w:rsidRPr="009A03AA">
              <w:rPr>
                <w:rFonts w:eastAsiaTheme="minorHAnsi"/>
                <w:sz w:val="18"/>
                <w:szCs w:val="18"/>
                <w:lang w:val="ro-RO" w:eastAsia="en-US"/>
              </w:rPr>
              <w:t xml:space="preserve">în </w:t>
            </w:r>
            <w:r w:rsidRPr="009A03AA">
              <w:rPr>
                <w:rFonts w:eastAsiaTheme="minorHAnsi"/>
                <w:sz w:val="18"/>
                <w:szCs w:val="18"/>
                <w:lang w:val="ro-MD" w:eastAsia="en-US"/>
              </w:rPr>
              <w:t>actele normative aferente tratamentului riscului de piaţă potrivit abordării standardizate</w:t>
            </w:r>
            <w:r w:rsidRPr="009A03AA">
              <w:rPr>
                <w:rFonts w:eastAsiaTheme="minorHAnsi"/>
                <w:sz w:val="18"/>
                <w:szCs w:val="18"/>
                <w:lang w:val="ro-RO" w:eastAsia="en-US"/>
              </w:rPr>
              <w:t>;</w:t>
            </w:r>
          </w:p>
          <w:bookmarkEnd w:id="16"/>
          <w:p w14:paraId="19059A46" w14:textId="77777777" w:rsidR="009A03AA" w:rsidRPr="009A03AA" w:rsidRDefault="009A03AA" w:rsidP="009A03AA">
            <w:pPr>
              <w:spacing w:after="160" w:line="259" w:lineRule="auto"/>
              <w:jc w:val="both"/>
              <w:rPr>
                <w:rFonts w:eastAsiaTheme="minorHAnsi"/>
                <w:sz w:val="18"/>
                <w:szCs w:val="18"/>
                <w:lang w:val="ro-RO" w:eastAsia="en-US"/>
              </w:rPr>
            </w:pPr>
            <w:r w:rsidRPr="009A03AA">
              <w:rPr>
                <w:rFonts w:eastAsiaTheme="minorHAnsi"/>
                <w:sz w:val="18"/>
                <w:szCs w:val="18"/>
                <w:lang w:val="ro-RO" w:eastAsia="en-US"/>
              </w:rPr>
              <w:t xml:space="preserve">121.2. instrumentele care acoperă variabilitatea componentei de expunere a riscului CVA, cu </w:t>
            </w:r>
            <w:r w:rsidRPr="009A03AA">
              <w:rPr>
                <w:rFonts w:eastAsiaTheme="minorHAnsi"/>
                <w:sz w:val="18"/>
                <w:szCs w:val="18"/>
                <w:lang w:val="ro-RO" w:eastAsia="en-US"/>
              </w:rPr>
              <w:lastRenderedPageBreak/>
              <w:t xml:space="preserve">excepția instrumentelor menționate în </w:t>
            </w:r>
            <w:r w:rsidRPr="009A03AA">
              <w:rPr>
                <w:rFonts w:eastAsiaTheme="minorHAnsi"/>
                <w:sz w:val="18"/>
                <w:szCs w:val="18"/>
                <w:lang w:val="ro-MD" w:eastAsia="en-US"/>
              </w:rPr>
              <w:t>actele normative aferente tratamentului riscului de piaţă potrivit abordării standardizate</w:t>
            </w:r>
            <w:r w:rsidRPr="009A03AA">
              <w:rPr>
                <w:rFonts w:eastAsiaTheme="minorHAnsi"/>
                <w:sz w:val="18"/>
                <w:szCs w:val="18"/>
                <w:lang w:val="ro-RO" w:eastAsia="en-US"/>
              </w:rPr>
              <w:t>.</w:t>
            </w:r>
          </w:p>
          <w:p w14:paraId="0AD5A9FA" w14:textId="77777777" w:rsidR="00DE1309" w:rsidRPr="002460E2" w:rsidRDefault="00DE1309" w:rsidP="00DE1309">
            <w:pPr>
              <w:jc w:val="center"/>
              <w:rPr>
                <w:bCs/>
                <w:i/>
                <w:iCs/>
                <w:sz w:val="18"/>
                <w:szCs w:val="18"/>
                <w:lang w:val="ro-RO" w:eastAsia="en-US"/>
              </w:rPr>
            </w:pPr>
          </w:p>
        </w:tc>
        <w:tc>
          <w:tcPr>
            <w:tcW w:w="1229" w:type="dxa"/>
          </w:tcPr>
          <w:p w14:paraId="41E69E5B" w14:textId="43CE2C8A" w:rsidR="00DE1309" w:rsidRPr="002460E2" w:rsidRDefault="00233328" w:rsidP="00DE1309">
            <w:pPr>
              <w:jc w:val="both"/>
              <w:rPr>
                <w:sz w:val="18"/>
                <w:szCs w:val="18"/>
                <w:lang w:val="ro-MD"/>
              </w:rPr>
            </w:pPr>
            <w:r>
              <w:rPr>
                <w:sz w:val="18"/>
                <w:szCs w:val="18"/>
                <w:lang w:val="ro-MD"/>
              </w:rPr>
              <w:lastRenderedPageBreak/>
              <w:t>c</w:t>
            </w:r>
            <w:r w:rsidR="00DE1309" w:rsidRPr="002460E2">
              <w:rPr>
                <w:sz w:val="18"/>
                <w:szCs w:val="18"/>
                <w:lang w:val="ro-MD"/>
              </w:rPr>
              <w:t>ompatibil</w:t>
            </w:r>
          </w:p>
        </w:tc>
        <w:tc>
          <w:tcPr>
            <w:tcW w:w="5292" w:type="dxa"/>
            <w:tcBorders>
              <w:top w:val="single" w:sz="4" w:space="0" w:color="auto"/>
              <w:bottom w:val="single" w:sz="4" w:space="0" w:color="auto"/>
            </w:tcBorders>
          </w:tcPr>
          <w:p w14:paraId="4755EE49" w14:textId="77777777" w:rsidR="00DE1309" w:rsidRPr="002460E2" w:rsidRDefault="00DE1309" w:rsidP="00DE1309">
            <w:pPr>
              <w:jc w:val="both"/>
              <w:rPr>
                <w:sz w:val="18"/>
                <w:szCs w:val="18"/>
                <w:lang w:val="ro-MD"/>
              </w:rPr>
            </w:pPr>
          </w:p>
        </w:tc>
      </w:tr>
      <w:tr w:rsidR="00DE1309" w:rsidRPr="002460E2" w14:paraId="6D56C77A" w14:textId="77777777" w:rsidTr="003F5B3C">
        <w:trPr>
          <w:trHeight w:val="918"/>
        </w:trPr>
        <w:tc>
          <w:tcPr>
            <w:tcW w:w="4253" w:type="dxa"/>
          </w:tcPr>
          <w:p w14:paraId="28F432BF" w14:textId="77777777" w:rsidR="00DE1309" w:rsidRPr="002460E2" w:rsidRDefault="00DE1309" w:rsidP="00DE1309">
            <w:pPr>
              <w:rPr>
                <w:sz w:val="18"/>
                <w:szCs w:val="18"/>
                <w:lang w:val="en-US"/>
              </w:rPr>
            </w:pPr>
            <w:r w:rsidRPr="002460E2">
              <w:rPr>
                <w:sz w:val="18"/>
                <w:szCs w:val="18"/>
                <w:lang w:val="en-US"/>
              </w:rPr>
              <w:t>(3) În scopul calculării cerințelor de fonduri proprii pentru riscul CVA în conformitate cu articolul 384, numai pozițiile pe următoarele instrumente de acoperire sunt recunoscute ca acoperiri eligibile:</w:t>
            </w:r>
          </w:p>
          <w:p w14:paraId="3B4B900B" w14:textId="77777777" w:rsidR="00DE1309" w:rsidRPr="002460E2" w:rsidRDefault="00DE1309" w:rsidP="00DE1309">
            <w:pPr>
              <w:rPr>
                <w:sz w:val="18"/>
                <w:szCs w:val="18"/>
                <w:lang w:val="en-US"/>
              </w:rPr>
            </w:pPr>
            <w:r w:rsidRPr="002460E2">
              <w:rPr>
                <w:sz w:val="18"/>
                <w:szCs w:val="18"/>
                <w:lang w:val="en-US"/>
              </w:rPr>
              <w:t>(a) instrumente de tip </w:t>
            </w:r>
            <w:r w:rsidRPr="002460E2">
              <w:rPr>
                <w:i/>
                <w:iCs/>
                <w:sz w:val="18"/>
                <w:szCs w:val="18"/>
                <w:lang w:val="en-US"/>
              </w:rPr>
              <w:t>credit default swap</w:t>
            </w:r>
            <w:r w:rsidRPr="002460E2">
              <w:rPr>
                <w:sz w:val="18"/>
                <w:szCs w:val="18"/>
                <w:lang w:val="en-US"/>
              </w:rPr>
              <w:t> având la bază o singură semnătură și instrumente de tip </w:t>
            </w:r>
            <w:r w:rsidRPr="002460E2">
              <w:rPr>
                <w:i/>
                <w:iCs/>
                <w:sz w:val="18"/>
                <w:szCs w:val="18"/>
                <w:lang w:val="en-US"/>
              </w:rPr>
              <w:t>credit default swap</w:t>
            </w:r>
            <w:r w:rsidRPr="002460E2">
              <w:rPr>
                <w:sz w:val="18"/>
                <w:szCs w:val="18"/>
                <w:lang w:val="en-US"/>
              </w:rPr>
              <w:t> contingente având la bază o singură semnătură care se raportează la:</w:t>
            </w:r>
          </w:p>
          <w:p w14:paraId="5CE1DAD9" w14:textId="77777777" w:rsidR="00DE1309" w:rsidRPr="002460E2" w:rsidRDefault="00DE1309" w:rsidP="00DE1309">
            <w:pPr>
              <w:rPr>
                <w:sz w:val="18"/>
                <w:szCs w:val="18"/>
                <w:lang w:val="en-US"/>
              </w:rPr>
            </w:pPr>
            <w:r w:rsidRPr="002460E2">
              <w:rPr>
                <w:sz w:val="18"/>
                <w:szCs w:val="18"/>
                <w:lang w:val="en-US"/>
              </w:rPr>
              <w:t>(i) contraparte în mod direct;</w:t>
            </w:r>
          </w:p>
          <w:p w14:paraId="5F95A367" w14:textId="77777777" w:rsidR="00DE1309" w:rsidRPr="002460E2" w:rsidRDefault="00DE1309" w:rsidP="00DE1309">
            <w:pPr>
              <w:rPr>
                <w:sz w:val="18"/>
                <w:szCs w:val="18"/>
                <w:lang w:val="en-US"/>
              </w:rPr>
            </w:pPr>
            <w:r w:rsidRPr="002460E2">
              <w:rPr>
                <w:sz w:val="18"/>
                <w:szCs w:val="18"/>
                <w:lang w:val="en-US"/>
              </w:rPr>
              <w:t>(ii) o entitate legată juridic de contraparte, unde „legată juridic” se referă la cazurile în care numele de referință și contrapartea sunt fie o întreprindere-mamă și filiala sa, fie două filiale ale unei întreprinderi-mamă comune;</w:t>
            </w:r>
          </w:p>
          <w:p w14:paraId="0AAA87D4" w14:textId="77777777" w:rsidR="00DE1309" w:rsidRPr="002460E2" w:rsidRDefault="00DE1309" w:rsidP="00DE1309">
            <w:pPr>
              <w:rPr>
                <w:sz w:val="18"/>
                <w:szCs w:val="18"/>
                <w:lang w:val="en-US"/>
              </w:rPr>
            </w:pPr>
            <w:r w:rsidRPr="002460E2">
              <w:rPr>
                <w:sz w:val="18"/>
                <w:szCs w:val="18"/>
                <w:lang w:val="en-US"/>
              </w:rPr>
              <w:t>(iii) o entitate care aparține aceluiași sector și aceleiași regiuni ca și contrapartea;</w:t>
            </w:r>
          </w:p>
          <w:p w14:paraId="4B298896" w14:textId="77777777" w:rsidR="00DE1309" w:rsidRPr="002460E2" w:rsidRDefault="00DE1309" w:rsidP="00DE1309">
            <w:pPr>
              <w:rPr>
                <w:sz w:val="18"/>
                <w:szCs w:val="18"/>
                <w:lang w:val="en-US"/>
              </w:rPr>
            </w:pPr>
            <w:r w:rsidRPr="002460E2">
              <w:rPr>
                <w:sz w:val="18"/>
                <w:szCs w:val="18"/>
                <w:lang w:val="en-US"/>
              </w:rPr>
              <w:t>(b) instrumente de tipul </w:t>
            </w:r>
            <w:r w:rsidRPr="002460E2">
              <w:rPr>
                <w:i/>
                <w:iCs/>
                <w:sz w:val="18"/>
                <w:szCs w:val="18"/>
                <w:lang w:val="en-US"/>
              </w:rPr>
              <w:t>credit default swap</w:t>
            </w:r>
            <w:r w:rsidRPr="002460E2">
              <w:rPr>
                <w:sz w:val="18"/>
                <w:szCs w:val="18"/>
                <w:lang w:val="en-US"/>
              </w:rPr>
              <w:t> bazate pe indici.</w:t>
            </w:r>
          </w:p>
          <w:p w14:paraId="6AD5F1E1" w14:textId="77777777" w:rsidR="00DE1309" w:rsidRPr="002460E2" w:rsidRDefault="00DE1309" w:rsidP="00DE1309">
            <w:pPr>
              <w:rPr>
                <w:sz w:val="18"/>
                <w:szCs w:val="18"/>
                <w:lang w:val="en-US"/>
              </w:rPr>
            </w:pPr>
          </w:p>
        </w:tc>
        <w:tc>
          <w:tcPr>
            <w:tcW w:w="3685" w:type="dxa"/>
            <w:shd w:val="clear" w:color="auto" w:fill="auto"/>
          </w:tcPr>
          <w:p w14:paraId="6991D1D4" w14:textId="77777777" w:rsidR="009A03AA" w:rsidRPr="009A03AA" w:rsidRDefault="009A03AA" w:rsidP="009A03AA">
            <w:pPr>
              <w:jc w:val="both"/>
              <w:rPr>
                <w:bCs/>
                <w:sz w:val="18"/>
                <w:szCs w:val="18"/>
                <w:lang w:val="ro-RO" w:eastAsia="en-US"/>
              </w:rPr>
            </w:pPr>
            <w:r w:rsidRPr="009A03AA">
              <w:rPr>
                <w:b/>
                <w:bCs/>
                <w:sz w:val="18"/>
                <w:szCs w:val="18"/>
                <w:lang w:val="ro-RO" w:eastAsia="en-US"/>
              </w:rPr>
              <w:t>122.</w:t>
            </w:r>
            <w:r w:rsidRPr="009A03AA">
              <w:rPr>
                <w:bCs/>
                <w:sz w:val="18"/>
                <w:szCs w:val="18"/>
                <w:lang w:val="ro-RO" w:eastAsia="en-US"/>
              </w:rPr>
              <w:t xml:space="preserve"> În scopul calculării cerinţelor de fonduri proprii pentru riscul CVA în conformitate cu punctele 113-115, doar poziţiile pe următoarele instrumente de acoperire sunt recunoscute ca acoperiri eligibile: </w:t>
            </w:r>
          </w:p>
          <w:p w14:paraId="1A2BA2EF" w14:textId="77777777" w:rsidR="009A03AA" w:rsidRPr="009A03AA" w:rsidRDefault="009A03AA" w:rsidP="009A03AA">
            <w:pPr>
              <w:jc w:val="both"/>
              <w:rPr>
                <w:bCs/>
                <w:sz w:val="18"/>
                <w:szCs w:val="18"/>
                <w:lang w:val="ro-RO" w:eastAsia="en-US"/>
              </w:rPr>
            </w:pPr>
            <w:r w:rsidRPr="009A03AA">
              <w:rPr>
                <w:bCs/>
                <w:sz w:val="18"/>
                <w:szCs w:val="18"/>
                <w:lang w:val="ro-RO" w:eastAsia="en-US"/>
              </w:rPr>
              <w:t xml:space="preserve">122.1. instrumente de tip credit default swap având la bază o singură semnătură și instrumente de tip credit default swap contingente având la bază o singură semnătură care se raportează la: </w:t>
            </w:r>
          </w:p>
          <w:p w14:paraId="17167A67" w14:textId="77777777" w:rsidR="009A03AA" w:rsidRPr="009A03AA" w:rsidRDefault="009A03AA" w:rsidP="009A03AA">
            <w:pPr>
              <w:jc w:val="both"/>
              <w:rPr>
                <w:bCs/>
                <w:sz w:val="18"/>
                <w:szCs w:val="18"/>
                <w:lang w:val="ro-RO" w:eastAsia="en-US"/>
              </w:rPr>
            </w:pPr>
            <w:r w:rsidRPr="009A03AA">
              <w:rPr>
                <w:bCs/>
                <w:sz w:val="18"/>
                <w:szCs w:val="18"/>
                <w:lang w:val="ro-RO" w:eastAsia="en-US"/>
              </w:rPr>
              <w:t xml:space="preserve">122.1.1. contraparte în mod direct; </w:t>
            </w:r>
          </w:p>
          <w:p w14:paraId="54627125" w14:textId="77777777" w:rsidR="009A03AA" w:rsidRPr="009A03AA" w:rsidRDefault="009A03AA" w:rsidP="009A03AA">
            <w:pPr>
              <w:jc w:val="both"/>
              <w:rPr>
                <w:bCs/>
                <w:sz w:val="18"/>
                <w:szCs w:val="18"/>
                <w:lang w:val="ro-RO" w:eastAsia="en-US"/>
              </w:rPr>
            </w:pPr>
            <w:r w:rsidRPr="009A03AA">
              <w:rPr>
                <w:bCs/>
                <w:sz w:val="18"/>
                <w:szCs w:val="18"/>
                <w:lang w:val="ro-RO" w:eastAsia="en-US"/>
              </w:rPr>
              <w:t xml:space="preserve">122.1.2. o entitate legată juridic de contraparte, unde „legată juridic” se referă la cazurile în care numele de referinţă și contrapartea sunt fie o întreprindere-mamă și filiala sa, fie două filiale ale unei întreprinderi-mamă comune; </w:t>
            </w:r>
          </w:p>
          <w:p w14:paraId="5F9B8D54" w14:textId="77777777" w:rsidR="009A03AA" w:rsidRPr="009A03AA" w:rsidRDefault="009A03AA" w:rsidP="009A03AA">
            <w:pPr>
              <w:jc w:val="both"/>
              <w:rPr>
                <w:bCs/>
                <w:sz w:val="18"/>
                <w:szCs w:val="18"/>
                <w:lang w:val="ro-RO" w:eastAsia="en-US"/>
              </w:rPr>
            </w:pPr>
            <w:r w:rsidRPr="009A03AA">
              <w:rPr>
                <w:bCs/>
                <w:sz w:val="18"/>
                <w:szCs w:val="18"/>
                <w:lang w:val="ro-RO" w:eastAsia="en-US"/>
              </w:rPr>
              <w:t xml:space="preserve">122.1.3. o entitate care aparţine aceluiași sector și aceleiași regiuni ca și contrapartea; </w:t>
            </w:r>
          </w:p>
          <w:p w14:paraId="6D89B724" w14:textId="77777777" w:rsidR="009A03AA" w:rsidRPr="009A03AA" w:rsidRDefault="009A03AA" w:rsidP="009A03AA">
            <w:pPr>
              <w:jc w:val="both"/>
              <w:rPr>
                <w:b/>
                <w:bCs/>
                <w:sz w:val="18"/>
                <w:szCs w:val="18"/>
                <w:lang w:val="ro-RO" w:eastAsia="en-US"/>
              </w:rPr>
            </w:pPr>
            <w:r w:rsidRPr="009A03AA">
              <w:rPr>
                <w:bCs/>
                <w:sz w:val="18"/>
                <w:szCs w:val="18"/>
                <w:lang w:val="ro-RO" w:eastAsia="en-US"/>
              </w:rPr>
              <w:t>122.2. instrumente de tipul credit default swap bazate pe indici.</w:t>
            </w:r>
          </w:p>
          <w:p w14:paraId="2CAD2433" w14:textId="77777777" w:rsidR="00DE1309" w:rsidRPr="002460E2" w:rsidRDefault="00DE1309" w:rsidP="009A03AA">
            <w:pPr>
              <w:jc w:val="both"/>
              <w:rPr>
                <w:bCs/>
                <w:sz w:val="18"/>
                <w:szCs w:val="18"/>
                <w:lang w:val="ro-RO" w:eastAsia="en-US"/>
              </w:rPr>
            </w:pPr>
          </w:p>
        </w:tc>
        <w:tc>
          <w:tcPr>
            <w:tcW w:w="1229" w:type="dxa"/>
          </w:tcPr>
          <w:p w14:paraId="09527BE4" w14:textId="339B1850"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C67989E" w14:textId="2C997555" w:rsidR="00DE1309" w:rsidRPr="002460E2" w:rsidRDefault="00DE1309" w:rsidP="00233328">
            <w:pPr>
              <w:jc w:val="both"/>
              <w:rPr>
                <w:sz w:val="18"/>
                <w:szCs w:val="18"/>
                <w:lang w:val="ro-RO"/>
              </w:rPr>
            </w:pPr>
          </w:p>
        </w:tc>
      </w:tr>
      <w:tr w:rsidR="00DE1309" w:rsidRPr="002460E2" w14:paraId="76B08E71" w14:textId="77777777" w:rsidTr="003F5B3C">
        <w:trPr>
          <w:trHeight w:val="918"/>
        </w:trPr>
        <w:tc>
          <w:tcPr>
            <w:tcW w:w="4253" w:type="dxa"/>
          </w:tcPr>
          <w:p w14:paraId="6CE0A249" w14:textId="77777777" w:rsidR="00DE1309" w:rsidRPr="002460E2" w:rsidRDefault="00DE1309" w:rsidP="00DE1309">
            <w:pPr>
              <w:rPr>
                <w:sz w:val="18"/>
                <w:szCs w:val="18"/>
                <w:lang w:val="en-US"/>
              </w:rPr>
            </w:pPr>
            <w:r w:rsidRPr="002460E2">
              <w:rPr>
                <w:sz w:val="18"/>
                <w:szCs w:val="18"/>
                <w:lang w:val="en-US"/>
              </w:rPr>
              <w:t>(4) Pozițiile pe instrumente de acoperire deschise cu părți terțe care sunt recunoscute ca acoperiri eligibile în conformitate cu alineatele (1), (2) și (3) și incluse în calculul cerințelor de fonduri proprii pentru riscul CVA nu fac obiectul cerințelor de fonduri proprii pentru riscul de piață prevăzute în titlul IV.</w:t>
            </w:r>
          </w:p>
          <w:p w14:paraId="3A01946C" w14:textId="77777777" w:rsidR="00DE1309" w:rsidRPr="002460E2" w:rsidRDefault="00DE1309" w:rsidP="00DE1309">
            <w:pPr>
              <w:rPr>
                <w:sz w:val="18"/>
                <w:szCs w:val="18"/>
                <w:lang w:val="en-US"/>
              </w:rPr>
            </w:pPr>
          </w:p>
        </w:tc>
        <w:tc>
          <w:tcPr>
            <w:tcW w:w="3685" w:type="dxa"/>
            <w:shd w:val="clear" w:color="auto" w:fill="auto"/>
          </w:tcPr>
          <w:p w14:paraId="69A7BED6" w14:textId="73AEEE45" w:rsidR="00DE1309" w:rsidRPr="002460E2" w:rsidRDefault="007E6968" w:rsidP="007E6968">
            <w:pPr>
              <w:spacing w:after="160" w:line="259" w:lineRule="auto"/>
              <w:jc w:val="both"/>
              <w:rPr>
                <w:rFonts w:eastAsiaTheme="minorHAnsi"/>
                <w:sz w:val="18"/>
                <w:szCs w:val="18"/>
                <w:lang w:val="ro-RO" w:eastAsia="en-US"/>
              </w:rPr>
            </w:pPr>
            <w:r w:rsidRPr="007E6968">
              <w:rPr>
                <w:rFonts w:eastAsiaTheme="minorHAnsi"/>
                <w:sz w:val="18"/>
                <w:szCs w:val="18"/>
                <w:lang w:val="ro-RO" w:eastAsia="en-US"/>
              </w:rPr>
              <w:t xml:space="preserve">123. Pozițiile pe instrumente de acoperire deschise cu părți terțe care sunt recunoscute ca acoperiri eligibile în conformitate cu punctele 119-122 și incluse în calculul cerințelor de fonduri proprii pentru riscul CVA nu fac obiectul cerințelor de fonduri proprii pentru riscul de piață prevăzute în </w:t>
            </w:r>
            <w:r w:rsidRPr="007E6968">
              <w:rPr>
                <w:rFonts w:eastAsiaTheme="minorHAnsi"/>
                <w:sz w:val="18"/>
                <w:szCs w:val="18"/>
                <w:lang w:val="ro-MD" w:eastAsia="en-US"/>
              </w:rPr>
              <w:t>actele normative aferente tratamentului riscului de piaţă potrivit abordării standardizate</w:t>
            </w:r>
            <w:r w:rsidRPr="007E6968">
              <w:rPr>
                <w:rFonts w:eastAsiaTheme="minorHAnsi"/>
                <w:sz w:val="18"/>
                <w:szCs w:val="18"/>
                <w:lang w:val="ro-RO" w:eastAsia="en-US"/>
              </w:rPr>
              <w:t>.</w:t>
            </w:r>
          </w:p>
        </w:tc>
        <w:tc>
          <w:tcPr>
            <w:tcW w:w="1229" w:type="dxa"/>
          </w:tcPr>
          <w:p w14:paraId="6350FC25" w14:textId="0F18555F"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34E60091" w14:textId="77777777" w:rsidR="00DE1309" w:rsidRPr="002460E2" w:rsidRDefault="00DE1309" w:rsidP="00DE1309">
            <w:pPr>
              <w:jc w:val="both"/>
              <w:rPr>
                <w:sz w:val="18"/>
                <w:szCs w:val="18"/>
                <w:lang w:val="ro-MD"/>
              </w:rPr>
            </w:pPr>
          </w:p>
        </w:tc>
      </w:tr>
      <w:tr w:rsidR="00DE1309" w:rsidRPr="002460E2" w14:paraId="5B15C5DF" w14:textId="77777777" w:rsidTr="003F5B3C">
        <w:trPr>
          <w:trHeight w:val="918"/>
        </w:trPr>
        <w:tc>
          <w:tcPr>
            <w:tcW w:w="4253" w:type="dxa"/>
          </w:tcPr>
          <w:p w14:paraId="47E5E4C6" w14:textId="77777777" w:rsidR="00DE1309" w:rsidRPr="002460E2" w:rsidRDefault="00DE1309" w:rsidP="00DE1309">
            <w:pPr>
              <w:rPr>
                <w:sz w:val="18"/>
                <w:szCs w:val="18"/>
                <w:lang w:val="en-US"/>
              </w:rPr>
            </w:pPr>
            <w:r w:rsidRPr="002460E2">
              <w:rPr>
                <w:sz w:val="18"/>
                <w:szCs w:val="18"/>
                <w:lang w:val="en-US"/>
              </w:rPr>
              <w:lastRenderedPageBreak/>
              <w:t>(5) Pozițiile pe instrumente de acoperire care nu sunt recunoscute ca acoperiri eligibile în conformitate cu prezentul articol fac obiectul cerințelor de fonduri proprii pentru riscul de piață prevăzute în titlul IV.</w:t>
            </w:r>
          </w:p>
          <w:p w14:paraId="23F1DC4E" w14:textId="77777777" w:rsidR="00DE1309" w:rsidRPr="002460E2" w:rsidRDefault="00DE1309" w:rsidP="00DE1309">
            <w:pPr>
              <w:rPr>
                <w:sz w:val="18"/>
                <w:szCs w:val="18"/>
                <w:lang w:val="en-US"/>
              </w:rPr>
            </w:pPr>
          </w:p>
        </w:tc>
        <w:tc>
          <w:tcPr>
            <w:tcW w:w="3685" w:type="dxa"/>
            <w:shd w:val="clear" w:color="auto" w:fill="auto"/>
          </w:tcPr>
          <w:p w14:paraId="721B0962" w14:textId="77777777" w:rsidR="007E6968" w:rsidRPr="002460E2" w:rsidRDefault="007E6968" w:rsidP="007E6968">
            <w:pPr>
              <w:jc w:val="both"/>
              <w:rPr>
                <w:sz w:val="18"/>
                <w:szCs w:val="18"/>
                <w:lang w:val="ro-RO"/>
              </w:rPr>
            </w:pPr>
            <w:r w:rsidRPr="002460E2">
              <w:rPr>
                <w:sz w:val="18"/>
                <w:szCs w:val="18"/>
                <w:lang w:val="ro-RO"/>
              </w:rPr>
              <w:t xml:space="preserve">124. Pozițiile pe instrumente de acoperire care nu sunt recunoscute ca acoperiri eligibile în conformitate cu prezentul capitol fac obiectul cerințelor de fonduri proprii pentru riscul de piață prevăzute în </w:t>
            </w:r>
            <w:r w:rsidRPr="002460E2">
              <w:rPr>
                <w:sz w:val="18"/>
                <w:szCs w:val="18"/>
                <w:lang w:val="ro-MD"/>
              </w:rPr>
              <w:t>actele normative aferente tratamentului riscului de piaţă potrivit abordării standardizate</w:t>
            </w:r>
            <w:r w:rsidRPr="002460E2">
              <w:rPr>
                <w:sz w:val="18"/>
                <w:szCs w:val="18"/>
                <w:lang w:val="ro-RO"/>
              </w:rPr>
              <w:t>.</w:t>
            </w:r>
          </w:p>
          <w:p w14:paraId="109D65B2" w14:textId="77777777" w:rsidR="00DE1309" w:rsidRPr="002460E2" w:rsidRDefault="00DE1309" w:rsidP="00DE1309">
            <w:pPr>
              <w:jc w:val="center"/>
              <w:rPr>
                <w:bCs/>
                <w:i/>
                <w:iCs/>
                <w:sz w:val="18"/>
                <w:szCs w:val="18"/>
                <w:lang w:val="ro-RO" w:eastAsia="en-US"/>
              </w:rPr>
            </w:pPr>
          </w:p>
        </w:tc>
        <w:tc>
          <w:tcPr>
            <w:tcW w:w="1229" w:type="dxa"/>
          </w:tcPr>
          <w:p w14:paraId="01530A7A" w14:textId="2FDB4560" w:rsidR="00DE1309" w:rsidRPr="002460E2" w:rsidRDefault="00233328" w:rsidP="00DE1309">
            <w:pPr>
              <w:jc w:val="both"/>
              <w:rPr>
                <w:sz w:val="18"/>
                <w:szCs w:val="18"/>
                <w:lang w:val="ro-MD"/>
              </w:rPr>
            </w:pPr>
            <w:r>
              <w:rPr>
                <w:sz w:val="18"/>
                <w:szCs w:val="18"/>
                <w:lang w:val="ro-MD"/>
              </w:rPr>
              <w:t>c</w:t>
            </w:r>
            <w:r w:rsidR="00DE1309" w:rsidRPr="002460E2">
              <w:rPr>
                <w:sz w:val="18"/>
                <w:szCs w:val="18"/>
                <w:lang w:val="ro-MD"/>
              </w:rPr>
              <w:t>ompatibil</w:t>
            </w:r>
          </w:p>
        </w:tc>
        <w:tc>
          <w:tcPr>
            <w:tcW w:w="5292" w:type="dxa"/>
            <w:tcBorders>
              <w:top w:val="single" w:sz="4" w:space="0" w:color="auto"/>
              <w:bottom w:val="single" w:sz="4" w:space="0" w:color="auto"/>
            </w:tcBorders>
          </w:tcPr>
          <w:p w14:paraId="69C58F42" w14:textId="77777777" w:rsidR="00DE1309" w:rsidRPr="002460E2" w:rsidRDefault="00DE1309" w:rsidP="00DE1309">
            <w:pPr>
              <w:jc w:val="both"/>
              <w:rPr>
                <w:sz w:val="18"/>
                <w:szCs w:val="18"/>
                <w:lang w:val="ro-MD"/>
              </w:rPr>
            </w:pPr>
          </w:p>
        </w:tc>
      </w:tr>
    </w:tbl>
    <w:p w14:paraId="34BD39BE" w14:textId="77777777" w:rsidR="00493520" w:rsidRPr="003F5B3C" w:rsidRDefault="00493520">
      <w:pPr>
        <w:rPr>
          <w:sz w:val="18"/>
          <w:szCs w:val="18"/>
          <w:lang w:val="ro-MD"/>
        </w:rPr>
      </w:pPr>
    </w:p>
    <w:sectPr w:rsidR="00493520" w:rsidRPr="003F5B3C" w:rsidSect="005736A5">
      <w:headerReference w:type="even" r:id="rId177"/>
      <w:headerReference w:type="default" r:id="rId178"/>
      <w:footerReference w:type="even" r:id="rId179"/>
      <w:footerReference w:type="default" r:id="rId180"/>
      <w:pgSz w:w="16838" w:h="11906" w:orient="landscape" w:code="9"/>
      <w:pgMar w:top="902" w:right="1134" w:bottom="53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5A8AC" w14:textId="77777777" w:rsidR="0083524C" w:rsidRDefault="0083524C" w:rsidP="00525701">
      <w:r>
        <w:separator/>
      </w:r>
    </w:p>
  </w:endnote>
  <w:endnote w:type="continuationSeparator" w:id="0">
    <w:p w14:paraId="5229CF58" w14:textId="77777777" w:rsidR="0083524C" w:rsidRDefault="0083524C" w:rsidP="0052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PermianSerifTypeface">
    <w:panose1 w:val="02000000000000000000"/>
    <w:charset w:val="CC"/>
    <w:family w:val="auto"/>
    <w:pitch w:val="variable"/>
    <w:sig w:usb0="A000022F" w:usb1="4000A46A" w:usb2="00000000" w:usb3="00000000" w:csb0="00000007"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ermianSansTypeface">
    <w:panose1 w:val="02000000000000000000"/>
    <w:charset w:val="CC"/>
    <w:family w:val="auto"/>
    <w:pitch w:val="variable"/>
    <w:sig w:usb0="A000022F" w:usb1="4000A07A" w:usb2="00000000" w:usb3="00000000" w:csb0="0000000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6A45" w14:textId="77777777" w:rsidR="00494263" w:rsidRDefault="00494263" w:rsidP="00525701">
    <w:pPr>
      <w:pStyle w:val="Footer"/>
      <w:framePr w:wrap="around" w:vAnchor="text" w:hAnchor="margin" w:xAlign="right" w:y="1"/>
      <w:jc w:val="center"/>
      <w:rPr>
        <w:rStyle w:val="PageNumber"/>
        <w:rFonts w:ascii="PermianSansTypeface" w:hAnsi="PermianSansTypeface"/>
        <w:b/>
        <w:color w:val="000000"/>
        <w:sz w:val="16"/>
        <w:lang w:val="en-US"/>
      </w:rPr>
    </w:pPr>
    <w:bookmarkStart w:id="19" w:name="TITUS1FooterEvenPages"/>
    <w:r>
      <w:rPr>
        <w:rStyle w:val="PageNumber"/>
        <w:rFonts w:ascii="PermianSansTypeface" w:hAnsi="PermianSansTypeface"/>
        <w:b/>
        <w:color w:val="000000"/>
        <w:sz w:val="16"/>
        <w:lang w:val="en-US"/>
      </w:rPr>
      <w:t xml:space="preserve"> </w:t>
    </w:r>
  </w:p>
  <w:p w14:paraId="127BC186" w14:textId="77777777" w:rsidR="00494263" w:rsidRDefault="00494263" w:rsidP="00525701">
    <w:pPr>
      <w:pStyle w:val="Footer"/>
      <w:framePr w:wrap="around" w:vAnchor="text" w:hAnchor="margin" w:xAlign="right" w:y="1"/>
      <w:rPr>
        <w:rStyle w:val="PageNumber"/>
        <w:rFonts w:ascii="PermianSansTypeface" w:hAnsi="PermianSansTypeface"/>
        <w:b/>
        <w:color w:val="000000"/>
        <w:sz w:val="16"/>
        <w:lang w:val="en-US"/>
      </w:rPr>
    </w:pPr>
    <w:r>
      <w:rPr>
        <w:rStyle w:val="PageNumber"/>
        <w:rFonts w:ascii="PermianSansTypeface" w:hAnsi="PermianSansTypeface"/>
        <w:b/>
        <w:color w:val="000000"/>
        <w:sz w:val="16"/>
        <w:lang w:val="en-US"/>
      </w:rPr>
      <w:t xml:space="preserve"> </w:t>
    </w:r>
  </w:p>
  <w:bookmarkEnd w:id="19"/>
  <w:p w14:paraId="30BBDDBD" w14:textId="77777777" w:rsidR="00494263" w:rsidRPr="00084C0C" w:rsidRDefault="00494263" w:rsidP="00525701">
    <w:pPr>
      <w:pStyle w:val="Footer"/>
      <w:framePr w:wrap="around" w:vAnchor="text" w:hAnchor="margin" w:xAlign="right" w:y="1"/>
      <w:jc w:val="center"/>
      <w:rPr>
        <w:rStyle w:val="PageNumber"/>
        <w:rFonts w:ascii="PermianSansTypeface" w:hAnsi="PermianSansTypeface"/>
        <w:b/>
        <w:color w:val="000000"/>
        <w:sz w:val="16"/>
        <w:lang w:val="en-US"/>
      </w:rPr>
    </w:pPr>
  </w:p>
  <w:p w14:paraId="32366E02" w14:textId="7F999D56" w:rsidR="00494263" w:rsidRDefault="00494263" w:rsidP="00525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7F25">
      <w:rPr>
        <w:rStyle w:val="PageNumber"/>
        <w:noProof/>
      </w:rPr>
      <w:t>2</w:t>
    </w:r>
    <w:r>
      <w:rPr>
        <w:rStyle w:val="PageNumber"/>
      </w:rPr>
      <w:fldChar w:fldCharType="end"/>
    </w:r>
  </w:p>
  <w:p w14:paraId="6D270E1A" w14:textId="77777777" w:rsidR="00494263" w:rsidRDefault="00494263" w:rsidP="00525701">
    <w:pPr>
      <w:pStyle w:val="Footer"/>
      <w:ind w:right="360"/>
    </w:pPr>
  </w:p>
  <w:p w14:paraId="0E54F150" w14:textId="77777777" w:rsidR="00494263" w:rsidRDefault="00494263" w:rsidP="005F3A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7B2B" w14:textId="77777777" w:rsidR="00494263" w:rsidRDefault="00494263" w:rsidP="00525701">
    <w:pPr>
      <w:pStyle w:val="Footer"/>
      <w:framePr w:wrap="around" w:vAnchor="text" w:hAnchor="margin" w:xAlign="right" w:y="1"/>
      <w:jc w:val="center"/>
      <w:rPr>
        <w:rStyle w:val="PageNumber"/>
        <w:rFonts w:ascii="PermianSansTypeface" w:hAnsi="PermianSansTypeface"/>
        <w:b/>
        <w:color w:val="000000"/>
        <w:sz w:val="16"/>
        <w:lang w:val="en-US"/>
      </w:rPr>
    </w:pPr>
    <w:bookmarkStart w:id="20" w:name="TITUS1FooterPrimary"/>
    <w:r>
      <w:rPr>
        <w:rStyle w:val="PageNumber"/>
        <w:rFonts w:ascii="PermianSansTypeface" w:hAnsi="PermianSansTypeface"/>
        <w:b/>
        <w:color w:val="000000"/>
        <w:sz w:val="16"/>
        <w:lang w:val="en-US"/>
      </w:rPr>
      <w:t xml:space="preserve"> </w:t>
    </w:r>
  </w:p>
  <w:p w14:paraId="5B6503C0" w14:textId="77777777" w:rsidR="00494263" w:rsidRDefault="00494263" w:rsidP="00525701">
    <w:pPr>
      <w:pStyle w:val="Footer"/>
      <w:framePr w:wrap="around" w:vAnchor="text" w:hAnchor="margin" w:xAlign="right" w:y="1"/>
      <w:rPr>
        <w:rStyle w:val="PageNumber"/>
        <w:rFonts w:ascii="PermianSansTypeface" w:hAnsi="PermianSansTypeface"/>
        <w:b/>
        <w:color w:val="000000"/>
        <w:sz w:val="16"/>
        <w:lang w:val="en-US"/>
      </w:rPr>
    </w:pPr>
    <w:r>
      <w:rPr>
        <w:rStyle w:val="PageNumber"/>
        <w:rFonts w:ascii="PermianSansTypeface" w:hAnsi="PermianSansTypeface"/>
        <w:b/>
        <w:color w:val="000000"/>
        <w:sz w:val="16"/>
        <w:lang w:val="en-US"/>
      </w:rPr>
      <w:t xml:space="preserve"> </w:t>
    </w:r>
  </w:p>
  <w:bookmarkEnd w:id="20"/>
  <w:p w14:paraId="4D4DC281" w14:textId="29CA27D1" w:rsidR="00494263" w:rsidRDefault="00494263" w:rsidP="005F3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7F25">
      <w:rPr>
        <w:rStyle w:val="PageNumber"/>
        <w:noProof/>
      </w:rPr>
      <w:t>1</w:t>
    </w:r>
    <w:r>
      <w:rPr>
        <w:rStyle w:val="PageNumber"/>
      </w:rPr>
      <w:fldChar w:fldCharType="end"/>
    </w:r>
  </w:p>
  <w:p w14:paraId="3B2B9BF7" w14:textId="77777777" w:rsidR="00494263" w:rsidRDefault="00494263" w:rsidP="005F3A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51E83" w14:textId="77777777" w:rsidR="0083524C" w:rsidRDefault="0083524C" w:rsidP="00525701">
      <w:r>
        <w:separator/>
      </w:r>
    </w:p>
  </w:footnote>
  <w:footnote w:type="continuationSeparator" w:id="0">
    <w:p w14:paraId="64301272" w14:textId="77777777" w:rsidR="0083524C" w:rsidRDefault="0083524C" w:rsidP="0052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09F6" w14:textId="77777777" w:rsidR="00494263" w:rsidRDefault="00494263" w:rsidP="00525701">
    <w:pPr>
      <w:pStyle w:val="Header"/>
      <w:jc w:val="right"/>
    </w:pPr>
    <w:bookmarkStart w:id="17" w:name="TITUS1HeaderEvenPages"/>
    <w:r>
      <w:t xml:space="preserve"> </w:t>
    </w:r>
  </w:p>
  <w:bookmarkEnd w:id="17"/>
  <w:p w14:paraId="2EA8E714" w14:textId="77777777" w:rsidR="00494263" w:rsidRDefault="00494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0E51" w14:textId="77777777" w:rsidR="00494263" w:rsidRDefault="00494263" w:rsidP="00525701">
    <w:pPr>
      <w:pStyle w:val="Header"/>
      <w:jc w:val="right"/>
    </w:pPr>
    <w:bookmarkStart w:id="18" w:name="TITUS1HeaderPrimary"/>
    <w:r>
      <w:t xml:space="preserve"> </w:t>
    </w:r>
  </w:p>
  <w:bookmarkEnd w:id="18"/>
  <w:p w14:paraId="7E223774" w14:textId="77777777" w:rsidR="00494263" w:rsidRDefault="00494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DC3"/>
    <w:multiLevelType w:val="hybridMultilevel"/>
    <w:tmpl w:val="EE468028"/>
    <w:lvl w:ilvl="0" w:tplc="C6ECD830">
      <w:start w:val="1"/>
      <w:numFmt w:val="decimal"/>
      <w:lvlText w:val="%1."/>
      <w:lvlJc w:val="left"/>
      <w:pPr>
        <w:ind w:left="1353" w:hanging="360"/>
      </w:pPr>
      <w:rPr>
        <w:i w:val="0"/>
        <w:color w:val="auto"/>
        <w:sz w:val="18"/>
        <w:szCs w:val="18"/>
      </w:rPr>
    </w:lvl>
    <w:lvl w:ilvl="1" w:tplc="A2B21D5E">
      <w:start w:val="1"/>
      <w:numFmt w:val="decimal"/>
      <w:lvlText w:val="%2)"/>
      <w:lvlJc w:val="left"/>
      <w:pPr>
        <w:ind w:left="2007" w:hanging="360"/>
      </w:pPr>
      <w:rPr>
        <w:rFonts w:hint="default"/>
        <w:i w:val="0"/>
        <w:color w:val="auto"/>
        <w:sz w:val="18"/>
        <w:szCs w:val="18"/>
      </w:rPr>
    </w:lvl>
    <w:lvl w:ilvl="2" w:tplc="6B4228F2">
      <w:start w:val="1"/>
      <w:numFmt w:val="lowerLetter"/>
      <w:lvlText w:val="%3)"/>
      <w:lvlJc w:val="left"/>
      <w:pPr>
        <w:ind w:left="928" w:hanging="360"/>
      </w:pPr>
      <w:rPr>
        <w:rFonts w:hint="default"/>
        <w:color w:val="auto"/>
      </w:rPr>
    </w:lvl>
    <w:lvl w:ilvl="3" w:tplc="16F2A364">
      <w:start w:val="1"/>
      <w:numFmt w:val="lowerLetter"/>
      <w:lvlText w:val="(%4)"/>
      <w:lvlJc w:val="left"/>
      <w:pPr>
        <w:ind w:left="3462" w:hanging="375"/>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25116AF"/>
    <w:multiLevelType w:val="hybridMultilevel"/>
    <w:tmpl w:val="E002427A"/>
    <w:lvl w:ilvl="0" w:tplc="0818000F">
      <w:start w:val="3"/>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04282E59"/>
    <w:multiLevelType w:val="hybridMultilevel"/>
    <w:tmpl w:val="047C6CCC"/>
    <w:lvl w:ilvl="0" w:tplc="0818000F">
      <w:start w:val="6"/>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5D90F33"/>
    <w:multiLevelType w:val="hybridMultilevel"/>
    <w:tmpl w:val="A25C190C"/>
    <w:lvl w:ilvl="0" w:tplc="4E5EE05E">
      <w:start w:val="59"/>
      <w:numFmt w:val="decimal"/>
      <w:lvlText w:val="%1."/>
      <w:lvlJc w:val="left"/>
      <w:pPr>
        <w:ind w:left="720" w:hanging="360"/>
      </w:pPr>
      <w:rPr>
        <w:rFonts w:hint="default"/>
        <w:b w:val="0"/>
        <w:color w:val="auto"/>
      </w:rPr>
    </w:lvl>
    <w:lvl w:ilvl="1" w:tplc="21F895A0">
      <w:start w:val="1"/>
      <w:numFmt w:val="decimal"/>
      <w:lvlText w:val="%2)"/>
      <w:lvlJc w:val="left"/>
      <w:pPr>
        <w:ind w:left="1440" w:hanging="360"/>
      </w:pPr>
      <w:rPr>
        <w:rFonts w:ascii="Times New Roman" w:eastAsia="Times New Roman" w:hAnsi="Times New Roman" w:cs="Times New Roman"/>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B01DF"/>
    <w:multiLevelType w:val="hybridMultilevel"/>
    <w:tmpl w:val="C4F43676"/>
    <w:lvl w:ilvl="0" w:tplc="C0481B90">
      <w:start w:val="1"/>
      <w:numFmt w:val="decimal"/>
      <w:lvlText w:val="%1."/>
      <w:lvlJc w:val="left"/>
      <w:pPr>
        <w:ind w:left="720" w:hanging="360"/>
      </w:pPr>
      <w:rPr>
        <w:rFonts w:ascii="PermianSerifTypeface" w:eastAsia="Arial Unicode MS" w:hAnsi="PermianSerifTypeface" w:hint="default"/>
        <w:color w:val="00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A2FD2"/>
    <w:multiLevelType w:val="hybridMultilevel"/>
    <w:tmpl w:val="98961EE8"/>
    <w:lvl w:ilvl="0" w:tplc="ACD864E2">
      <w:start w:val="2"/>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 w15:restartNumberingAfterBreak="0">
    <w:nsid w:val="0DA645AE"/>
    <w:multiLevelType w:val="hybridMultilevel"/>
    <w:tmpl w:val="D80AA2D2"/>
    <w:lvl w:ilvl="0" w:tplc="FD625DB6">
      <w:start w:val="22"/>
      <w:numFmt w:val="decimal"/>
      <w:lvlText w:val="%1."/>
      <w:lvlJc w:val="left"/>
      <w:pPr>
        <w:ind w:left="720" w:hanging="360"/>
      </w:pPr>
      <w:rPr>
        <w:rFonts w:ascii="Times New Roman" w:hAnsi="Times New Roman" w:cs="Times New Roman" w:hint="default"/>
        <w:i w:val="0"/>
        <w:color w:val="auto"/>
        <w:sz w:val="18"/>
        <w:szCs w:val="18"/>
      </w:rPr>
    </w:lvl>
    <w:lvl w:ilvl="1" w:tplc="579C78DA">
      <w:start w:val="1"/>
      <w:numFmt w:val="decimal"/>
      <w:lvlText w:val="%2)"/>
      <w:lvlJc w:val="left"/>
      <w:pPr>
        <w:ind w:left="1440" w:hanging="360"/>
      </w:pPr>
      <w:rPr>
        <w:rFonts w:ascii="Times New Roman" w:eastAsia="Times New Roman" w:hAnsi="Times New Roman" w:cs="Times New Roman"/>
        <w:i w:val="0"/>
        <w:color w:val="auto"/>
      </w:rPr>
    </w:lvl>
    <w:lvl w:ilvl="2" w:tplc="D4EAC1A8">
      <w:start w:val="1"/>
      <w:numFmt w:val="lowerLetter"/>
      <w:lvlText w:val="%3)"/>
      <w:lvlJc w:val="right"/>
      <w:pPr>
        <w:ind w:left="2160" w:hanging="180"/>
      </w:pPr>
      <w:rPr>
        <w:rFonts w:ascii="Times New Roman" w:eastAsia="Times New Roman" w:hAnsi="Times New Roman" w:cs="Times New Roman"/>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B0EFB"/>
    <w:multiLevelType w:val="hybridMultilevel"/>
    <w:tmpl w:val="973EC0B0"/>
    <w:lvl w:ilvl="0" w:tplc="FEF0DD8A">
      <w:start w:val="1"/>
      <w:numFmt w:val="decimal"/>
      <w:lvlText w:val="%1."/>
      <w:lvlJc w:val="left"/>
      <w:pPr>
        <w:ind w:left="720" w:hanging="360"/>
      </w:pPr>
      <w:rPr>
        <w:rFonts w:eastAsia="Arial Unicode M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 w15:restartNumberingAfterBreak="0">
    <w:nsid w:val="17CE7E92"/>
    <w:multiLevelType w:val="hybridMultilevel"/>
    <w:tmpl w:val="DC16BD1C"/>
    <w:lvl w:ilvl="0" w:tplc="4FD03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B6B3B"/>
    <w:multiLevelType w:val="hybridMultilevel"/>
    <w:tmpl w:val="EE468028"/>
    <w:lvl w:ilvl="0" w:tplc="C6ECD830">
      <w:start w:val="1"/>
      <w:numFmt w:val="decimal"/>
      <w:lvlText w:val="%1."/>
      <w:lvlJc w:val="left"/>
      <w:pPr>
        <w:ind w:left="1353" w:hanging="360"/>
      </w:pPr>
      <w:rPr>
        <w:i w:val="0"/>
        <w:color w:val="auto"/>
        <w:sz w:val="18"/>
        <w:szCs w:val="18"/>
      </w:rPr>
    </w:lvl>
    <w:lvl w:ilvl="1" w:tplc="A2B21D5E">
      <w:start w:val="1"/>
      <w:numFmt w:val="decimal"/>
      <w:lvlText w:val="%2)"/>
      <w:lvlJc w:val="left"/>
      <w:pPr>
        <w:ind w:left="2007" w:hanging="360"/>
      </w:pPr>
      <w:rPr>
        <w:rFonts w:hint="default"/>
        <w:i w:val="0"/>
        <w:color w:val="auto"/>
        <w:sz w:val="18"/>
        <w:szCs w:val="18"/>
      </w:rPr>
    </w:lvl>
    <w:lvl w:ilvl="2" w:tplc="6B4228F2">
      <w:start w:val="1"/>
      <w:numFmt w:val="lowerLetter"/>
      <w:lvlText w:val="%3)"/>
      <w:lvlJc w:val="left"/>
      <w:pPr>
        <w:ind w:left="928" w:hanging="360"/>
      </w:pPr>
      <w:rPr>
        <w:rFonts w:hint="default"/>
        <w:color w:val="auto"/>
      </w:rPr>
    </w:lvl>
    <w:lvl w:ilvl="3" w:tplc="16F2A364">
      <w:start w:val="1"/>
      <w:numFmt w:val="lowerLetter"/>
      <w:lvlText w:val="(%4)"/>
      <w:lvlJc w:val="left"/>
      <w:pPr>
        <w:ind w:left="3462" w:hanging="375"/>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A515455"/>
    <w:multiLevelType w:val="hybridMultilevel"/>
    <w:tmpl w:val="FF8E726C"/>
    <w:lvl w:ilvl="0" w:tplc="FCE47E40">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EC57D0"/>
    <w:multiLevelType w:val="hybridMultilevel"/>
    <w:tmpl w:val="C716275A"/>
    <w:lvl w:ilvl="0" w:tplc="2CDEC0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044A1"/>
    <w:multiLevelType w:val="hybridMultilevel"/>
    <w:tmpl w:val="EE468028"/>
    <w:lvl w:ilvl="0" w:tplc="C6ECD830">
      <w:start w:val="1"/>
      <w:numFmt w:val="decimal"/>
      <w:lvlText w:val="%1."/>
      <w:lvlJc w:val="left"/>
      <w:pPr>
        <w:ind w:left="1353" w:hanging="360"/>
      </w:pPr>
      <w:rPr>
        <w:i w:val="0"/>
        <w:color w:val="auto"/>
        <w:sz w:val="18"/>
        <w:szCs w:val="18"/>
      </w:rPr>
    </w:lvl>
    <w:lvl w:ilvl="1" w:tplc="A2B21D5E">
      <w:start w:val="1"/>
      <w:numFmt w:val="decimal"/>
      <w:lvlText w:val="%2)"/>
      <w:lvlJc w:val="left"/>
      <w:pPr>
        <w:ind w:left="2007" w:hanging="360"/>
      </w:pPr>
      <w:rPr>
        <w:rFonts w:hint="default"/>
        <w:i w:val="0"/>
        <w:color w:val="auto"/>
        <w:sz w:val="18"/>
        <w:szCs w:val="18"/>
      </w:rPr>
    </w:lvl>
    <w:lvl w:ilvl="2" w:tplc="6B4228F2">
      <w:start w:val="1"/>
      <w:numFmt w:val="lowerLetter"/>
      <w:lvlText w:val="%3)"/>
      <w:lvlJc w:val="left"/>
      <w:pPr>
        <w:ind w:left="928" w:hanging="360"/>
      </w:pPr>
      <w:rPr>
        <w:rFonts w:hint="default"/>
        <w:color w:val="auto"/>
      </w:rPr>
    </w:lvl>
    <w:lvl w:ilvl="3" w:tplc="16F2A364">
      <w:start w:val="1"/>
      <w:numFmt w:val="lowerLetter"/>
      <w:lvlText w:val="(%4)"/>
      <w:lvlJc w:val="left"/>
      <w:pPr>
        <w:ind w:left="3462" w:hanging="375"/>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3F52A25"/>
    <w:multiLevelType w:val="hybridMultilevel"/>
    <w:tmpl w:val="FA3460EA"/>
    <w:lvl w:ilvl="0" w:tplc="DD280728">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A5D65"/>
    <w:multiLevelType w:val="hybridMultilevel"/>
    <w:tmpl w:val="877AE5F4"/>
    <w:lvl w:ilvl="0" w:tplc="FFFFFFFF">
      <w:start w:val="1"/>
      <w:numFmt w:val="decimal"/>
      <w:lvlText w:val="%1."/>
      <w:lvlJc w:val="left"/>
      <w:pPr>
        <w:ind w:left="720" w:hanging="360"/>
      </w:pPr>
      <w:rPr>
        <w:rFonts w:ascii="Times New Roman" w:hAnsi="Times New Roman" w:cs="Times New Roman" w:hint="default"/>
        <w:b w:val="0"/>
        <w:bCs/>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start w:val="8"/>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D32F71"/>
    <w:multiLevelType w:val="hybridMultilevel"/>
    <w:tmpl w:val="877AE5F4"/>
    <w:lvl w:ilvl="0" w:tplc="FFFFFFFF">
      <w:start w:val="1"/>
      <w:numFmt w:val="decimal"/>
      <w:lvlText w:val="%1."/>
      <w:lvlJc w:val="left"/>
      <w:pPr>
        <w:ind w:left="720" w:hanging="360"/>
      </w:pPr>
      <w:rPr>
        <w:rFonts w:ascii="Times New Roman" w:hAnsi="Times New Roman" w:cs="Times New Roman" w:hint="default"/>
        <w:b w:val="0"/>
        <w:bCs/>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start w:val="8"/>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3A0BC7"/>
    <w:multiLevelType w:val="hybridMultilevel"/>
    <w:tmpl w:val="D4E60A40"/>
    <w:lvl w:ilvl="0" w:tplc="9B4C4A6E">
      <w:start w:val="20"/>
      <w:numFmt w:val="decimal"/>
      <w:lvlText w:val="%1."/>
      <w:lvlJc w:val="left"/>
      <w:pPr>
        <w:ind w:left="1713" w:hanging="360"/>
      </w:pPr>
      <w:rPr>
        <w:rFonts w:hint="default"/>
        <w:color w:val="auto"/>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15:restartNumberingAfterBreak="0">
    <w:nsid w:val="37655A75"/>
    <w:multiLevelType w:val="hybridMultilevel"/>
    <w:tmpl w:val="9EBC1CB8"/>
    <w:lvl w:ilvl="0" w:tplc="BF5229A8">
      <w:start w:val="1"/>
      <w:numFmt w:val="decimal"/>
      <w:lvlText w:val="%1)"/>
      <w:lvlJc w:val="left"/>
      <w:pPr>
        <w:ind w:left="2007" w:hanging="360"/>
      </w:pPr>
      <w:rPr>
        <w:rFonts w:eastAsia="Times New Roman" w:hint="default"/>
        <w:i w:val="0"/>
        <w:color w:val="auto"/>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8" w15:restartNumberingAfterBreak="0">
    <w:nsid w:val="39D027B0"/>
    <w:multiLevelType w:val="hybridMultilevel"/>
    <w:tmpl w:val="C248C286"/>
    <w:lvl w:ilvl="0" w:tplc="0818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start w:val="8"/>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6E254C"/>
    <w:multiLevelType w:val="hybridMultilevel"/>
    <w:tmpl w:val="1D7C9C78"/>
    <w:lvl w:ilvl="0" w:tplc="0016987A">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52781"/>
    <w:multiLevelType w:val="hybridMultilevel"/>
    <w:tmpl w:val="C00287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A1224F"/>
    <w:multiLevelType w:val="hybridMultilevel"/>
    <w:tmpl w:val="6082C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447610"/>
    <w:multiLevelType w:val="hybridMultilevel"/>
    <w:tmpl w:val="3F56283C"/>
    <w:lvl w:ilvl="0" w:tplc="4DE4B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3950DB"/>
    <w:multiLevelType w:val="hybridMultilevel"/>
    <w:tmpl w:val="AC9A2A24"/>
    <w:lvl w:ilvl="0" w:tplc="0A98DD84">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987E5A"/>
    <w:multiLevelType w:val="multilevel"/>
    <w:tmpl w:val="7054C942"/>
    <w:lvl w:ilvl="0">
      <w:start w:val="1"/>
      <w:numFmt w:val="upperRoman"/>
      <w:pStyle w:val="Heading5"/>
      <w:lvlText w:val="%1."/>
      <w:legacy w:legacy="1" w:legacySpace="0" w:legacyIndent="720"/>
      <w:lvlJc w:val="left"/>
      <w:pPr>
        <w:ind w:left="720" w:hanging="720"/>
      </w:pPr>
      <w:rPr>
        <w:rFonts w:ascii="Times New Roman" w:hAnsi="Times New Roman" w:hint="default"/>
        <w:b/>
        <w:i w:val="0"/>
        <w:sz w:val="30"/>
        <w:u w:val="none"/>
      </w:rPr>
    </w:lvl>
    <w:lvl w:ilvl="1">
      <w:start w:val="1"/>
      <w:numFmt w:val="upperLetter"/>
      <w:lvlText w:val="%2."/>
      <w:legacy w:legacy="1" w:legacySpace="0" w:legacyIndent="720"/>
      <w:lvlJc w:val="left"/>
      <w:pPr>
        <w:ind w:left="1440" w:hanging="720"/>
      </w:pPr>
      <w:rPr>
        <w:rFonts w:ascii="Times New Roman" w:hAnsi="Times New Roman" w:hint="default"/>
        <w:b/>
        <w:i w:val="0"/>
        <w:sz w:val="30"/>
      </w:rPr>
    </w:lvl>
    <w:lvl w:ilvl="2">
      <w:start w:val="1"/>
      <w:numFmt w:val="decimal"/>
      <w:lvlText w:val="%3."/>
      <w:legacy w:legacy="1" w:legacySpace="0" w:legacyIndent="720"/>
      <w:lvlJc w:val="left"/>
      <w:pPr>
        <w:ind w:left="2160" w:hanging="720"/>
      </w:pPr>
      <w:rPr>
        <w:rFonts w:ascii="Times New Roman" w:hAnsi="Times New Roman" w:hint="default"/>
        <w:b/>
        <w:i w:val="0"/>
        <w:sz w:val="30"/>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rPr>
        <w:rFonts w:ascii="Times New Roman" w:hAnsi="Times New Roman" w:hint="default"/>
        <w:b/>
        <w:i w:val="0"/>
        <w:sz w:val="28"/>
      </w:rPr>
    </w:lvl>
    <w:lvl w:ilvl="5">
      <w:start w:val="1"/>
      <w:numFmt w:val="lowerLetter"/>
      <w:lvlText w:val="(%6)"/>
      <w:legacy w:legacy="1" w:legacySpace="0" w:legacyIndent="720"/>
      <w:lvlJc w:val="left"/>
      <w:pPr>
        <w:ind w:left="4320" w:hanging="720"/>
      </w:pPr>
      <w:rPr>
        <w:rFonts w:ascii="Times New Roman" w:hAnsi="Times New Roman" w:hint="default"/>
        <w:b/>
        <w:i w:val="0"/>
        <w:sz w:val="28"/>
      </w:rPr>
    </w:lvl>
    <w:lvl w:ilvl="6">
      <w:start w:val="1"/>
      <w:numFmt w:val="lowerRoman"/>
      <w:lvlText w:val="(%7)"/>
      <w:legacy w:legacy="1" w:legacySpace="0" w:legacyIndent="720"/>
      <w:lvlJc w:val="left"/>
      <w:pPr>
        <w:ind w:left="5040" w:hanging="720"/>
      </w:pPr>
      <w:rPr>
        <w:rFonts w:ascii="Times New Roman" w:hAnsi="Times New Roman" w:hint="default"/>
        <w:b/>
        <w:i w:val="0"/>
        <w:sz w:val="28"/>
      </w:r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5" w15:restartNumberingAfterBreak="0">
    <w:nsid w:val="56292CD8"/>
    <w:multiLevelType w:val="hybridMultilevel"/>
    <w:tmpl w:val="694AB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8F3493"/>
    <w:multiLevelType w:val="hybridMultilevel"/>
    <w:tmpl w:val="35C098D6"/>
    <w:lvl w:ilvl="0" w:tplc="6548E13C">
      <w:start w:val="1"/>
      <w:numFmt w:val="decimal"/>
      <w:lvlText w:val="%1."/>
      <w:lvlJc w:val="left"/>
      <w:pPr>
        <w:ind w:left="720" w:hanging="360"/>
      </w:pPr>
      <w:rPr>
        <w:i w:val="0"/>
        <w:color w:val="auto"/>
        <w:sz w:val="24"/>
        <w:szCs w:val="24"/>
      </w:rPr>
    </w:lvl>
    <w:lvl w:ilvl="1" w:tplc="EC32B7BA">
      <w:start w:val="1"/>
      <w:numFmt w:val="lowerLetter"/>
      <w:lvlText w:val="%2."/>
      <w:lvlJc w:val="left"/>
      <w:pPr>
        <w:ind w:left="1440" w:hanging="360"/>
      </w:pPr>
      <w:rPr>
        <w:color w:val="auto"/>
      </w:rPr>
    </w:lvl>
    <w:lvl w:ilvl="2" w:tplc="5490AFDA">
      <w:start w:val="39"/>
      <w:numFmt w:val="bullet"/>
      <w:lvlText w:val=""/>
      <w:lvlJc w:val="left"/>
      <w:pPr>
        <w:ind w:left="2340" w:hanging="360"/>
      </w:pPr>
      <w:rPr>
        <w:rFonts w:ascii="Wingdings" w:eastAsia="Arial Unicode MS"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3C732F"/>
    <w:multiLevelType w:val="hybridMultilevel"/>
    <w:tmpl w:val="049E71DE"/>
    <w:lvl w:ilvl="0" w:tplc="5726C95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66A46550"/>
    <w:multiLevelType w:val="hybridMultilevel"/>
    <w:tmpl w:val="877AE5F4"/>
    <w:lvl w:ilvl="0" w:tplc="690ECA82">
      <w:start w:val="1"/>
      <w:numFmt w:val="decimal"/>
      <w:lvlText w:val="%1."/>
      <w:lvlJc w:val="left"/>
      <w:pPr>
        <w:ind w:left="720" w:hanging="360"/>
      </w:pPr>
      <w:rPr>
        <w:rFonts w:ascii="Times New Roman" w:hAnsi="Times New Roman" w:cs="Times New Roman" w:hint="default"/>
        <w:b w:val="0"/>
        <w:bCs/>
      </w:rPr>
    </w:lvl>
    <w:lvl w:ilvl="1" w:tplc="91306EC4">
      <w:start w:val="1"/>
      <w:numFmt w:val="decimal"/>
      <w:lvlText w:val="%2)"/>
      <w:lvlJc w:val="left"/>
      <w:pPr>
        <w:ind w:left="1440" w:hanging="360"/>
      </w:pPr>
      <w:rPr>
        <w:rFonts w:hint="default"/>
      </w:rPr>
    </w:lvl>
    <w:lvl w:ilvl="2" w:tplc="BEDC7B26">
      <w:start w:val="1"/>
      <w:numFmt w:val="lowerLetter"/>
      <w:lvlText w:val="%3)"/>
      <w:lvlJc w:val="left"/>
      <w:pPr>
        <w:ind w:left="2340" w:hanging="360"/>
      </w:pPr>
      <w:rPr>
        <w:rFonts w:hint="default"/>
      </w:rPr>
    </w:lvl>
    <w:lvl w:ilvl="3" w:tplc="E956342A">
      <w:start w:val="8"/>
      <w:numFmt w:val="bullet"/>
      <w:lvlText w:val="-"/>
      <w:lvlJc w:val="left"/>
      <w:pPr>
        <w:ind w:left="2880" w:hanging="360"/>
      </w:pPr>
      <w:rPr>
        <w:rFonts w:ascii="Times New Roman" w:eastAsiaTheme="minorHAnsi" w:hAnsi="Times New Roman" w:cs="Times New Roman" w:hint="default"/>
      </w:r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9" w15:restartNumberingAfterBreak="0">
    <w:nsid w:val="6F4E5515"/>
    <w:multiLevelType w:val="hybridMultilevel"/>
    <w:tmpl w:val="5108293E"/>
    <w:lvl w:ilvl="0" w:tplc="1F00BAAE">
      <w:start w:val="10"/>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707510B5"/>
    <w:multiLevelType w:val="hybridMultilevel"/>
    <w:tmpl w:val="EE468028"/>
    <w:lvl w:ilvl="0" w:tplc="C6ECD830">
      <w:start w:val="1"/>
      <w:numFmt w:val="decimal"/>
      <w:lvlText w:val="%1."/>
      <w:lvlJc w:val="left"/>
      <w:pPr>
        <w:ind w:left="1353" w:hanging="360"/>
      </w:pPr>
      <w:rPr>
        <w:i w:val="0"/>
        <w:color w:val="auto"/>
        <w:sz w:val="18"/>
        <w:szCs w:val="18"/>
      </w:rPr>
    </w:lvl>
    <w:lvl w:ilvl="1" w:tplc="A2B21D5E">
      <w:start w:val="1"/>
      <w:numFmt w:val="decimal"/>
      <w:lvlText w:val="%2)"/>
      <w:lvlJc w:val="left"/>
      <w:pPr>
        <w:ind w:left="2007" w:hanging="360"/>
      </w:pPr>
      <w:rPr>
        <w:rFonts w:hint="default"/>
        <w:i w:val="0"/>
        <w:color w:val="auto"/>
        <w:sz w:val="18"/>
        <w:szCs w:val="18"/>
      </w:rPr>
    </w:lvl>
    <w:lvl w:ilvl="2" w:tplc="6B4228F2">
      <w:start w:val="1"/>
      <w:numFmt w:val="lowerLetter"/>
      <w:lvlText w:val="%3)"/>
      <w:lvlJc w:val="left"/>
      <w:pPr>
        <w:ind w:left="928" w:hanging="360"/>
      </w:pPr>
      <w:rPr>
        <w:rFonts w:hint="default"/>
        <w:color w:val="auto"/>
      </w:rPr>
    </w:lvl>
    <w:lvl w:ilvl="3" w:tplc="16F2A364">
      <w:start w:val="1"/>
      <w:numFmt w:val="lowerLetter"/>
      <w:lvlText w:val="(%4)"/>
      <w:lvlJc w:val="left"/>
      <w:pPr>
        <w:ind w:left="3462" w:hanging="375"/>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78EF43DD"/>
    <w:multiLevelType w:val="hybridMultilevel"/>
    <w:tmpl w:val="F0BE490E"/>
    <w:lvl w:ilvl="0" w:tplc="33B6187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074817"/>
    <w:multiLevelType w:val="hybridMultilevel"/>
    <w:tmpl w:val="A4725B6C"/>
    <w:lvl w:ilvl="0" w:tplc="AF0E428E">
      <w:start w:val="8"/>
      <w:numFmt w:val="decimal"/>
      <w:lvlText w:val="%1."/>
      <w:lvlJc w:val="left"/>
      <w:pPr>
        <w:ind w:left="1353" w:hanging="360"/>
      </w:pPr>
      <w:rPr>
        <w:rFonts w:hint="default"/>
        <w:i w:val="0"/>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7AE90A2A"/>
    <w:multiLevelType w:val="multilevel"/>
    <w:tmpl w:val="47C4C132"/>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16cid:durableId="390885044">
    <w:abstractNumId w:val="24"/>
  </w:num>
  <w:num w:numId="2" w16cid:durableId="1281303259">
    <w:abstractNumId w:val="4"/>
  </w:num>
  <w:num w:numId="3" w16cid:durableId="2111655017">
    <w:abstractNumId w:val="11"/>
  </w:num>
  <w:num w:numId="4" w16cid:durableId="221985756">
    <w:abstractNumId w:val="13"/>
  </w:num>
  <w:num w:numId="5" w16cid:durableId="1562212201">
    <w:abstractNumId w:val="9"/>
  </w:num>
  <w:num w:numId="6" w16cid:durableId="1918401064">
    <w:abstractNumId w:val="23"/>
  </w:num>
  <w:num w:numId="7" w16cid:durableId="2075425383">
    <w:abstractNumId w:val="21"/>
  </w:num>
  <w:num w:numId="8" w16cid:durableId="1466115833">
    <w:abstractNumId w:val="20"/>
  </w:num>
  <w:num w:numId="9" w16cid:durableId="1720474486">
    <w:abstractNumId w:val="31"/>
  </w:num>
  <w:num w:numId="10" w16cid:durableId="65225206">
    <w:abstractNumId w:val="10"/>
  </w:num>
  <w:num w:numId="11" w16cid:durableId="491340404">
    <w:abstractNumId w:val="32"/>
  </w:num>
  <w:num w:numId="12" w16cid:durableId="184750809">
    <w:abstractNumId w:val="5"/>
  </w:num>
  <w:num w:numId="13" w16cid:durableId="1764256060">
    <w:abstractNumId w:val="16"/>
  </w:num>
  <w:num w:numId="14" w16cid:durableId="224682862">
    <w:abstractNumId w:val="6"/>
  </w:num>
  <w:num w:numId="15" w16cid:durableId="510031345">
    <w:abstractNumId w:val="8"/>
  </w:num>
  <w:num w:numId="16" w16cid:durableId="1006981231">
    <w:abstractNumId w:val="22"/>
  </w:num>
  <w:num w:numId="17" w16cid:durableId="1926382253">
    <w:abstractNumId w:val="27"/>
  </w:num>
  <w:num w:numId="18" w16cid:durableId="1241713063">
    <w:abstractNumId w:val="26"/>
  </w:num>
  <w:num w:numId="19" w16cid:durableId="1439905714">
    <w:abstractNumId w:val="29"/>
  </w:num>
  <w:num w:numId="20" w16cid:durableId="543374166">
    <w:abstractNumId w:val="3"/>
  </w:num>
  <w:num w:numId="21" w16cid:durableId="976297114">
    <w:abstractNumId w:val="17"/>
  </w:num>
  <w:num w:numId="22" w16cid:durableId="593055656">
    <w:abstractNumId w:val="25"/>
  </w:num>
  <w:num w:numId="23" w16cid:durableId="630792302">
    <w:abstractNumId w:val="0"/>
  </w:num>
  <w:num w:numId="24" w16cid:durableId="1337079218">
    <w:abstractNumId w:val="30"/>
  </w:num>
  <w:num w:numId="25" w16cid:durableId="520241099">
    <w:abstractNumId w:val="12"/>
  </w:num>
  <w:num w:numId="26" w16cid:durableId="1684744183">
    <w:abstractNumId w:val="19"/>
  </w:num>
  <w:num w:numId="27" w16cid:durableId="1415207291">
    <w:abstractNumId w:val="7"/>
  </w:num>
  <w:num w:numId="28" w16cid:durableId="1847402393">
    <w:abstractNumId w:val="28"/>
  </w:num>
  <w:num w:numId="29" w16cid:durableId="1170215710">
    <w:abstractNumId w:val="18"/>
  </w:num>
  <w:num w:numId="30" w16cid:durableId="175770609">
    <w:abstractNumId w:val="33"/>
  </w:num>
  <w:num w:numId="31" w16cid:durableId="1110012038">
    <w:abstractNumId w:val="15"/>
  </w:num>
  <w:num w:numId="32" w16cid:durableId="586695346">
    <w:abstractNumId w:val="1"/>
  </w:num>
  <w:num w:numId="33" w16cid:durableId="158617725">
    <w:abstractNumId w:val="2"/>
  </w:num>
  <w:num w:numId="34" w16cid:durableId="1217232214">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73"/>
    <w:rsid w:val="00001D9C"/>
    <w:rsid w:val="00003AF8"/>
    <w:rsid w:val="00010D81"/>
    <w:rsid w:val="000158D2"/>
    <w:rsid w:val="00015F07"/>
    <w:rsid w:val="00016ADF"/>
    <w:rsid w:val="0001798B"/>
    <w:rsid w:val="00024F5D"/>
    <w:rsid w:val="0002546B"/>
    <w:rsid w:val="00025A92"/>
    <w:rsid w:val="00030776"/>
    <w:rsid w:val="000335E0"/>
    <w:rsid w:val="000453F8"/>
    <w:rsid w:val="000473F3"/>
    <w:rsid w:val="00051B9A"/>
    <w:rsid w:val="000520BC"/>
    <w:rsid w:val="00052F52"/>
    <w:rsid w:val="00052FA0"/>
    <w:rsid w:val="0005447A"/>
    <w:rsid w:val="00060B1B"/>
    <w:rsid w:val="00071539"/>
    <w:rsid w:val="00071E67"/>
    <w:rsid w:val="00074E4C"/>
    <w:rsid w:val="00075388"/>
    <w:rsid w:val="0007705C"/>
    <w:rsid w:val="000835E1"/>
    <w:rsid w:val="000850A5"/>
    <w:rsid w:val="000876C4"/>
    <w:rsid w:val="00096474"/>
    <w:rsid w:val="000A29BF"/>
    <w:rsid w:val="000A3B3F"/>
    <w:rsid w:val="000A5A50"/>
    <w:rsid w:val="000A5F47"/>
    <w:rsid w:val="000B234D"/>
    <w:rsid w:val="000C4B5C"/>
    <w:rsid w:val="000D1910"/>
    <w:rsid w:val="000D1A25"/>
    <w:rsid w:val="000D35FB"/>
    <w:rsid w:val="000D3919"/>
    <w:rsid w:val="000D761E"/>
    <w:rsid w:val="000D7CA1"/>
    <w:rsid w:val="000E24D6"/>
    <w:rsid w:val="000E329A"/>
    <w:rsid w:val="000E6D95"/>
    <w:rsid w:val="000F1893"/>
    <w:rsid w:val="000F19A0"/>
    <w:rsid w:val="000F25BB"/>
    <w:rsid w:val="000F50DE"/>
    <w:rsid w:val="00100467"/>
    <w:rsid w:val="001015FD"/>
    <w:rsid w:val="001018B3"/>
    <w:rsid w:val="00114F17"/>
    <w:rsid w:val="00117FF8"/>
    <w:rsid w:val="00130EEF"/>
    <w:rsid w:val="00134814"/>
    <w:rsid w:val="00136C35"/>
    <w:rsid w:val="001373DE"/>
    <w:rsid w:val="00140596"/>
    <w:rsid w:val="00141A4D"/>
    <w:rsid w:val="00142B82"/>
    <w:rsid w:val="001432F6"/>
    <w:rsid w:val="00143DF7"/>
    <w:rsid w:val="00147A76"/>
    <w:rsid w:val="001531F1"/>
    <w:rsid w:val="00154C01"/>
    <w:rsid w:val="00155A7F"/>
    <w:rsid w:val="00155E00"/>
    <w:rsid w:val="0015608E"/>
    <w:rsid w:val="00157FF4"/>
    <w:rsid w:val="00163F5B"/>
    <w:rsid w:val="001640E9"/>
    <w:rsid w:val="00170808"/>
    <w:rsid w:val="00171800"/>
    <w:rsid w:val="001731ED"/>
    <w:rsid w:val="00175747"/>
    <w:rsid w:val="00175883"/>
    <w:rsid w:val="00180CC3"/>
    <w:rsid w:val="001830C7"/>
    <w:rsid w:val="00190B87"/>
    <w:rsid w:val="00191F99"/>
    <w:rsid w:val="00191FA2"/>
    <w:rsid w:val="001A1FB8"/>
    <w:rsid w:val="001A4DE8"/>
    <w:rsid w:val="001B131C"/>
    <w:rsid w:val="001B1C01"/>
    <w:rsid w:val="001B281D"/>
    <w:rsid w:val="001B2C74"/>
    <w:rsid w:val="001B4C1F"/>
    <w:rsid w:val="001B680B"/>
    <w:rsid w:val="001B73D6"/>
    <w:rsid w:val="001C246D"/>
    <w:rsid w:val="001C69FC"/>
    <w:rsid w:val="001D7229"/>
    <w:rsid w:val="001D728A"/>
    <w:rsid w:val="001D72F3"/>
    <w:rsid w:val="001F02C8"/>
    <w:rsid w:val="001F5296"/>
    <w:rsid w:val="001F5A07"/>
    <w:rsid w:val="001F65BA"/>
    <w:rsid w:val="001F6AF5"/>
    <w:rsid w:val="002038FD"/>
    <w:rsid w:val="00207FD9"/>
    <w:rsid w:val="00216EAF"/>
    <w:rsid w:val="00221B89"/>
    <w:rsid w:val="00222AAD"/>
    <w:rsid w:val="00225B07"/>
    <w:rsid w:val="00226B2A"/>
    <w:rsid w:val="002315A6"/>
    <w:rsid w:val="00231F49"/>
    <w:rsid w:val="002321CD"/>
    <w:rsid w:val="00233328"/>
    <w:rsid w:val="0023610D"/>
    <w:rsid w:val="002460E2"/>
    <w:rsid w:val="0024642E"/>
    <w:rsid w:val="00247DEC"/>
    <w:rsid w:val="00260EFD"/>
    <w:rsid w:val="00272561"/>
    <w:rsid w:val="002737F5"/>
    <w:rsid w:val="00273C2C"/>
    <w:rsid w:val="00273D6E"/>
    <w:rsid w:val="00274506"/>
    <w:rsid w:val="00283894"/>
    <w:rsid w:val="00284EC0"/>
    <w:rsid w:val="00286BFD"/>
    <w:rsid w:val="002874AE"/>
    <w:rsid w:val="00287961"/>
    <w:rsid w:val="00290406"/>
    <w:rsid w:val="00290DDA"/>
    <w:rsid w:val="0029210A"/>
    <w:rsid w:val="00292CEF"/>
    <w:rsid w:val="00293EEC"/>
    <w:rsid w:val="002A0E3F"/>
    <w:rsid w:val="002A2E6B"/>
    <w:rsid w:val="002A34C7"/>
    <w:rsid w:val="002A4007"/>
    <w:rsid w:val="002A7B53"/>
    <w:rsid w:val="002B2FD9"/>
    <w:rsid w:val="002B630E"/>
    <w:rsid w:val="002B7D11"/>
    <w:rsid w:val="002C24E3"/>
    <w:rsid w:val="002C4B00"/>
    <w:rsid w:val="002D0141"/>
    <w:rsid w:val="002D3C92"/>
    <w:rsid w:val="002E144D"/>
    <w:rsid w:val="002E23E7"/>
    <w:rsid w:val="002E7BD3"/>
    <w:rsid w:val="002F281A"/>
    <w:rsid w:val="002F30E6"/>
    <w:rsid w:val="002F5029"/>
    <w:rsid w:val="0030064B"/>
    <w:rsid w:val="00304DDE"/>
    <w:rsid w:val="00306BFA"/>
    <w:rsid w:val="003251A4"/>
    <w:rsid w:val="00326AB9"/>
    <w:rsid w:val="00333386"/>
    <w:rsid w:val="003343BA"/>
    <w:rsid w:val="00335B75"/>
    <w:rsid w:val="003409C8"/>
    <w:rsid w:val="0034174A"/>
    <w:rsid w:val="00343A8F"/>
    <w:rsid w:val="00344056"/>
    <w:rsid w:val="00344B19"/>
    <w:rsid w:val="003501FF"/>
    <w:rsid w:val="0035372B"/>
    <w:rsid w:val="00353CAE"/>
    <w:rsid w:val="00355332"/>
    <w:rsid w:val="00355BF7"/>
    <w:rsid w:val="00362849"/>
    <w:rsid w:val="00365609"/>
    <w:rsid w:val="0037189C"/>
    <w:rsid w:val="00385569"/>
    <w:rsid w:val="0038769D"/>
    <w:rsid w:val="00391A95"/>
    <w:rsid w:val="00393189"/>
    <w:rsid w:val="00395FFC"/>
    <w:rsid w:val="003A16A0"/>
    <w:rsid w:val="003A2E98"/>
    <w:rsid w:val="003A350E"/>
    <w:rsid w:val="003A6590"/>
    <w:rsid w:val="003A7277"/>
    <w:rsid w:val="003B14E9"/>
    <w:rsid w:val="003B467C"/>
    <w:rsid w:val="003B5C50"/>
    <w:rsid w:val="003B66CA"/>
    <w:rsid w:val="003B74E7"/>
    <w:rsid w:val="003B786B"/>
    <w:rsid w:val="003C0E44"/>
    <w:rsid w:val="003C52CB"/>
    <w:rsid w:val="003C6504"/>
    <w:rsid w:val="003D25F0"/>
    <w:rsid w:val="003D574A"/>
    <w:rsid w:val="003E007B"/>
    <w:rsid w:val="003E0287"/>
    <w:rsid w:val="003E1903"/>
    <w:rsid w:val="003E22F7"/>
    <w:rsid w:val="003E7AAE"/>
    <w:rsid w:val="003F402C"/>
    <w:rsid w:val="003F486D"/>
    <w:rsid w:val="003F5B3C"/>
    <w:rsid w:val="00401777"/>
    <w:rsid w:val="00411085"/>
    <w:rsid w:val="004114BC"/>
    <w:rsid w:val="004139C2"/>
    <w:rsid w:val="00414194"/>
    <w:rsid w:val="00415A32"/>
    <w:rsid w:val="00417DF0"/>
    <w:rsid w:val="004251A1"/>
    <w:rsid w:val="004256FB"/>
    <w:rsid w:val="00426B6A"/>
    <w:rsid w:val="0043016A"/>
    <w:rsid w:val="00433910"/>
    <w:rsid w:val="00433F10"/>
    <w:rsid w:val="00434040"/>
    <w:rsid w:val="00436512"/>
    <w:rsid w:val="00437156"/>
    <w:rsid w:val="00440B8E"/>
    <w:rsid w:val="00447DF9"/>
    <w:rsid w:val="004554A7"/>
    <w:rsid w:val="00460FD0"/>
    <w:rsid w:val="00462A87"/>
    <w:rsid w:val="00463AF3"/>
    <w:rsid w:val="004642C3"/>
    <w:rsid w:val="0046466E"/>
    <w:rsid w:val="004646E0"/>
    <w:rsid w:val="004651DF"/>
    <w:rsid w:val="00473066"/>
    <w:rsid w:val="00473E33"/>
    <w:rsid w:val="0048260B"/>
    <w:rsid w:val="004832AC"/>
    <w:rsid w:val="00483371"/>
    <w:rsid w:val="00486DD1"/>
    <w:rsid w:val="0049096A"/>
    <w:rsid w:val="004918A3"/>
    <w:rsid w:val="00493520"/>
    <w:rsid w:val="00493B24"/>
    <w:rsid w:val="00493E4B"/>
    <w:rsid w:val="00494263"/>
    <w:rsid w:val="004A26A6"/>
    <w:rsid w:val="004B277F"/>
    <w:rsid w:val="004B3CF9"/>
    <w:rsid w:val="004B63BB"/>
    <w:rsid w:val="004B655A"/>
    <w:rsid w:val="004B68E0"/>
    <w:rsid w:val="004B7DDD"/>
    <w:rsid w:val="004C56E7"/>
    <w:rsid w:val="004D13A2"/>
    <w:rsid w:val="004D1AE5"/>
    <w:rsid w:val="004D207A"/>
    <w:rsid w:val="004D5D23"/>
    <w:rsid w:val="004E24F8"/>
    <w:rsid w:val="004E328B"/>
    <w:rsid w:val="00500B86"/>
    <w:rsid w:val="005064AE"/>
    <w:rsid w:val="0051151B"/>
    <w:rsid w:val="00514C33"/>
    <w:rsid w:val="00520E50"/>
    <w:rsid w:val="0052222B"/>
    <w:rsid w:val="00523874"/>
    <w:rsid w:val="005248DD"/>
    <w:rsid w:val="0052508A"/>
    <w:rsid w:val="00525701"/>
    <w:rsid w:val="00527217"/>
    <w:rsid w:val="00531CD6"/>
    <w:rsid w:val="00534345"/>
    <w:rsid w:val="00535527"/>
    <w:rsid w:val="00536A18"/>
    <w:rsid w:val="00536C54"/>
    <w:rsid w:val="00537105"/>
    <w:rsid w:val="00543997"/>
    <w:rsid w:val="005442AD"/>
    <w:rsid w:val="005442CA"/>
    <w:rsid w:val="00551FC3"/>
    <w:rsid w:val="00557186"/>
    <w:rsid w:val="00562F8E"/>
    <w:rsid w:val="0056508D"/>
    <w:rsid w:val="005665A7"/>
    <w:rsid w:val="00566AE0"/>
    <w:rsid w:val="005705BD"/>
    <w:rsid w:val="00571C2C"/>
    <w:rsid w:val="00572336"/>
    <w:rsid w:val="005736A5"/>
    <w:rsid w:val="0057535D"/>
    <w:rsid w:val="005760C6"/>
    <w:rsid w:val="00580428"/>
    <w:rsid w:val="00582D07"/>
    <w:rsid w:val="005832F1"/>
    <w:rsid w:val="00586FEF"/>
    <w:rsid w:val="00592C8A"/>
    <w:rsid w:val="00597143"/>
    <w:rsid w:val="005A16C7"/>
    <w:rsid w:val="005A331E"/>
    <w:rsid w:val="005A33C6"/>
    <w:rsid w:val="005B071D"/>
    <w:rsid w:val="005B0854"/>
    <w:rsid w:val="005B1E41"/>
    <w:rsid w:val="005B2691"/>
    <w:rsid w:val="005B2ECE"/>
    <w:rsid w:val="005B573D"/>
    <w:rsid w:val="005C0FC4"/>
    <w:rsid w:val="005C16D2"/>
    <w:rsid w:val="005C1753"/>
    <w:rsid w:val="005C212B"/>
    <w:rsid w:val="005D0749"/>
    <w:rsid w:val="005D353E"/>
    <w:rsid w:val="005D47BC"/>
    <w:rsid w:val="005D4D14"/>
    <w:rsid w:val="005D4FCE"/>
    <w:rsid w:val="005D754D"/>
    <w:rsid w:val="005D7E14"/>
    <w:rsid w:val="005E02AD"/>
    <w:rsid w:val="005F1AC6"/>
    <w:rsid w:val="005F3A73"/>
    <w:rsid w:val="005F5B40"/>
    <w:rsid w:val="00601307"/>
    <w:rsid w:val="0060316F"/>
    <w:rsid w:val="00603294"/>
    <w:rsid w:val="00604EF1"/>
    <w:rsid w:val="0060551D"/>
    <w:rsid w:val="0061243E"/>
    <w:rsid w:val="0061332B"/>
    <w:rsid w:val="006162E3"/>
    <w:rsid w:val="00622402"/>
    <w:rsid w:val="00630FC2"/>
    <w:rsid w:val="006315F5"/>
    <w:rsid w:val="00631B13"/>
    <w:rsid w:val="00632557"/>
    <w:rsid w:val="006330D9"/>
    <w:rsid w:val="00633EC7"/>
    <w:rsid w:val="00634D1D"/>
    <w:rsid w:val="006359A5"/>
    <w:rsid w:val="00635D39"/>
    <w:rsid w:val="00641B57"/>
    <w:rsid w:val="0064379E"/>
    <w:rsid w:val="00643E3E"/>
    <w:rsid w:val="00643F80"/>
    <w:rsid w:val="00655D26"/>
    <w:rsid w:val="00657DA7"/>
    <w:rsid w:val="00667816"/>
    <w:rsid w:val="006708CE"/>
    <w:rsid w:val="00673801"/>
    <w:rsid w:val="00676ADA"/>
    <w:rsid w:val="00676F18"/>
    <w:rsid w:val="00690FCC"/>
    <w:rsid w:val="00691EF3"/>
    <w:rsid w:val="0069358D"/>
    <w:rsid w:val="006951EC"/>
    <w:rsid w:val="006A762F"/>
    <w:rsid w:val="006B094C"/>
    <w:rsid w:val="006B1661"/>
    <w:rsid w:val="006B330A"/>
    <w:rsid w:val="006B33D2"/>
    <w:rsid w:val="006B47BA"/>
    <w:rsid w:val="006B649F"/>
    <w:rsid w:val="006C1B67"/>
    <w:rsid w:val="006C2256"/>
    <w:rsid w:val="006C2AFA"/>
    <w:rsid w:val="006C3D5C"/>
    <w:rsid w:val="006D28B5"/>
    <w:rsid w:val="006D3679"/>
    <w:rsid w:val="006D3C0B"/>
    <w:rsid w:val="006D7611"/>
    <w:rsid w:val="006E4C80"/>
    <w:rsid w:val="006E643D"/>
    <w:rsid w:val="006E7199"/>
    <w:rsid w:val="006F00B8"/>
    <w:rsid w:val="006F34BF"/>
    <w:rsid w:val="006F5219"/>
    <w:rsid w:val="006F7952"/>
    <w:rsid w:val="007004E4"/>
    <w:rsid w:val="007006A2"/>
    <w:rsid w:val="00703E16"/>
    <w:rsid w:val="00704724"/>
    <w:rsid w:val="00707266"/>
    <w:rsid w:val="007110D4"/>
    <w:rsid w:val="007133C1"/>
    <w:rsid w:val="00715A0E"/>
    <w:rsid w:val="00720245"/>
    <w:rsid w:val="00721DC2"/>
    <w:rsid w:val="00726A49"/>
    <w:rsid w:val="00726B2D"/>
    <w:rsid w:val="007316C3"/>
    <w:rsid w:val="0073676A"/>
    <w:rsid w:val="007471EF"/>
    <w:rsid w:val="00747AC2"/>
    <w:rsid w:val="00750212"/>
    <w:rsid w:val="00750494"/>
    <w:rsid w:val="00752E26"/>
    <w:rsid w:val="007538EA"/>
    <w:rsid w:val="00755D83"/>
    <w:rsid w:val="00757978"/>
    <w:rsid w:val="00757F5A"/>
    <w:rsid w:val="0076289C"/>
    <w:rsid w:val="007628EF"/>
    <w:rsid w:val="007761CB"/>
    <w:rsid w:val="00776C7C"/>
    <w:rsid w:val="007779EA"/>
    <w:rsid w:val="00780AF5"/>
    <w:rsid w:val="0079064E"/>
    <w:rsid w:val="00790854"/>
    <w:rsid w:val="007910DD"/>
    <w:rsid w:val="00793494"/>
    <w:rsid w:val="00793EE1"/>
    <w:rsid w:val="00794DBD"/>
    <w:rsid w:val="007A081B"/>
    <w:rsid w:val="007A0B54"/>
    <w:rsid w:val="007A1BC5"/>
    <w:rsid w:val="007A20FD"/>
    <w:rsid w:val="007A3D23"/>
    <w:rsid w:val="007A3DB2"/>
    <w:rsid w:val="007A4337"/>
    <w:rsid w:val="007A57D6"/>
    <w:rsid w:val="007B1192"/>
    <w:rsid w:val="007B14D9"/>
    <w:rsid w:val="007B564C"/>
    <w:rsid w:val="007C7951"/>
    <w:rsid w:val="007E4E9E"/>
    <w:rsid w:val="007E6968"/>
    <w:rsid w:val="007F3499"/>
    <w:rsid w:val="007F3A2B"/>
    <w:rsid w:val="007F47E2"/>
    <w:rsid w:val="00800969"/>
    <w:rsid w:val="00800FFC"/>
    <w:rsid w:val="0080142B"/>
    <w:rsid w:val="00805F71"/>
    <w:rsid w:val="00806EB5"/>
    <w:rsid w:val="00811CEA"/>
    <w:rsid w:val="008163A7"/>
    <w:rsid w:val="00820B0A"/>
    <w:rsid w:val="008231F0"/>
    <w:rsid w:val="008247F9"/>
    <w:rsid w:val="008339BB"/>
    <w:rsid w:val="00833F7C"/>
    <w:rsid w:val="00834B74"/>
    <w:rsid w:val="0083524C"/>
    <w:rsid w:val="00837BFE"/>
    <w:rsid w:val="008441C5"/>
    <w:rsid w:val="0084486F"/>
    <w:rsid w:val="008452A2"/>
    <w:rsid w:val="0085208E"/>
    <w:rsid w:val="00852CEE"/>
    <w:rsid w:val="00852E92"/>
    <w:rsid w:val="00857D50"/>
    <w:rsid w:val="0086484D"/>
    <w:rsid w:val="00876062"/>
    <w:rsid w:val="0087660B"/>
    <w:rsid w:val="008774C1"/>
    <w:rsid w:val="00880327"/>
    <w:rsid w:val="0088389F"/>
    <w:rsid w:val="00885D93"/>
    <w:rsid w:val="00890C7C"/>
    <w:rsid w:val="00892150"/>
    <w:rsid w:val="00895020"/>
    <w:rsid w:val="008A1A95"/>
    <w:rsid w:val="008A2D6D"/>
    <w:rsid w:val="008A2F85"/>
    <w:rsid w:val="008A6F6C"/>
    <w:rsid w:val="008B2D5D"/>
    <w:rsid w:val="008B4EBA"/>
    <w:rsid w:val="008B6702"/>
    <w:rsid w:val="008B6B86"/>
    <w:rsid w:val="008C322C"/>
    <w:rsid w:val="008C4817"/>
    <w:rsid w:val="008C673E"/>
    <w:rsid w:val="008C7ED8"/>
    <w:rsid w:val="008D02C1"/>
    <w:rsid w:val="008D1014"/>
    <w:rsid w:val="008D22EE"/>
    <w:rsid w:val="008D5BB4"/>
    <w:rsid w:val="008D7F28"/>
    <w:rsid w:val="008E002B"/>
    <w:rsid w:val="008E282D"/>
    <w:rsid w:val="008F0CCD"/>
    <w:rsid w:val="008F1030"/>
    <w:rsid w:val="008F20A0"/>
    <w:rsid w:val="008F4A7D"/>
    <w:rsid w:val="008F4AE9"/>
    <w:rsid w:val="008F5163"/>
    <w:rsid w:val="008F6172"/>
    <w:rsid w:val="008F7F12"/>
    <w:rsid w:val="0090397D"/>
    <w:rsid w:val="0091054F"/>
    <w:rsid w:val="009117EA"/>
    <w:rsid w:val="00923320"/>
    <w:rsid w:val="00927289"/>
    <w:rsid w:val="00930407"/>
    <w:rsid w:val="009356D7"/>
    <w:rsid w:val="0093615D"/>
    <w:rsid w:val="0093681A"/>
    <w:rsid w:val="0094579F"/>
    <w:rsid w:val="00945873"/>
    <w:rsid w:val="00945B36"/>
    <w:rsid w:val="009507AE"/>
    <w:rsid w:val="00955F93"/>
    <w:rsid w:val="00965FBC"/>
    <w:rsid w:val="00970C0E"/>
    <w:rsid w:val="00976963"/>
    <w:rsid w:val="00993C2D"/>
    <w:rsid w:val="009A03AA"/>
    <w:rsid w:val="009A3CD5"/>
    <w:rsid w:val="009A7894"/>
    <w:rsid w:val="009A7CF4"/>
    <w:rsid w:val="009B3A7F"/>
    <w:rsid w:val="009B4A85"/>
    <w:rsid w:val="009B64E9"/>
    <w:rsid w:val="009C4EAD"/>
    <w:rsid w:val="009C7033"/>
    <w:rsid w:val="009D06EC"/>
    <w:rsid w:val="009E0264"/>
    <w:rsid w:val="009E0906"/>
    <w:rsid w:val="009E22E2"/>
    <w:rsid w:val="009E6B87"/>
    <w:rsid w:val="009E6DDE"/>
    <w:rsid w:val="009E7064"/>
    <w:rsid w:val="009E789F"/>
    <w:rsid w:val="009F5549"/>
    <w:rsid w:val="009F6CB8"/>
    <w:rsid w:val="00A02580"/>
    <w:rsid w:val="00A039C8"/>
    <w:rsid w:val="00A07DF5"/>
    <w:rsid w:val="00A10596"/>
    <w:rsid w:val="00A15662"/>
    <w:rsid w:val="00A175FD"/>
    <w:rsid w:val="00A205F7"/>
    <w:rsid w:val="00A2123C"/>
    <w:rsid w:val="00A221F8"/>
    <w:rsid w:val="00A23052"/>
    <w:rsid w:val="00A256DB"/>
    <w:rsid w:val="00A319E1"/>
    <w:rsid w:val="00A41355"/>
    <w:rsid w:val="00A509EE"/>
    <w:rsid w:val="00A55FA4"/>
    <w:rsid w:val="00A63884"/>
    <w:rsid w:val="00A64198"/>
    <w:rsid w:val="00A664C0"/>
    <w:rsid w:val="00A70A3E"/>
    <w:rsid w:val="00A73010"/>
    <w:rsid w:val="00A75BB6"/>
    <w:rsid w:val="00A76A65"/>
    <w:rsid w:val="00A77BB5"/>
    <w:rsid w:val="00A836D4"/>
    <w:rsid w:val="00A85493"/>
    <w:rsid w:val="00A8566D"/>
    <w:rsid w:val="00A94F1E"/>
    <w:rsid w:val="00A97FAA"/>
    <w:rsid w:val="00AA1549"/>
    <w:rsid w:val="00AB0C1C"/>
    <w:rsid w:val="00AB1449"/>
    <w:rsid w:val="00AB5BB4"/>
    <w:rsid w:val="00AC2607"/>
    <w:rsid w:val="00AC5276"/>
    <w:rsid w:val="00AC6EDB"/>
    <w:rsid w:val="00AD1A65"/>
    <w:rsid w:val="00AE0751"/>
    <w:rsid w:val="00AE2643"/>
    <w:rsid w:val="00AE3D98"/>
    <w:rsid w:val="00AE3F89"/>
    <w:rsid w:val="00AE4669"/>
    <w:rsid w:val="00AF0201"/>
    <w:rsid w:val="00AF048F"/>
    <w:rsid w:val="00AF1160"/>
    <w:rsid w:val="00AF58F9"/>
    <w:rsid w:val="00AF701D"/>
    <w:rsid w:val="00B009FC"/>
    <w:rsid w:val="00B020C7"/>
    <w:rsid w:val="00B02A55"/>
    <w:rsid w:val="00B0686E"/>
    <w:rsid w:val="00B123E5"/>
    <w:rsid w:val="00B12EE5"/>
    <w:rsid w:val="00B15249"/>
    <w:rsid w:val="00B2032C"/>
    <w:rsid w:val="00B20C8C"/>
    <w:rsid w:val="00B26CDE"/>
    <w:rsid w:val="00B32EDF"/>
    <w:rsid w:val="00B33863"/>
    <w:rsid w:val="00B40AF5"/>
    <w:rsid w:val="00B41DC9"/>
    <w:rsid w:val="00B43029"/>
    <w:rsid w:val="00B44FE3"/>
    <w:rsid w:val="00B51CC1"/>
    <w:rsid w:val="00B52837"/>
    <w:rsid w:val="00B5508E"/>
    <w:rsid w:val="00B55131"/>
    <w:rsid w:val="00B606C5"/>
    <w:rsid w:val="00B61078"/>
    <w:rsid w:val="00B62813"/>
    <w:rsid w:val="00B62E56"/>
    <w:rsid w:val="00B634FF"/>
    <w:rsid w:val="00B67C56"/>
    <w:rsid w:val="00B70F9E"/>
    <w:rsid w:val="00B71442"/>
    <w:rsid w:val="00B7257B"/>
    <w:rsid w:val="00B76E7C"/>
    <w:rsid w:val="00B8028B"/>
    <w:rsid w:val="00B81AAF"/>
    <w:rsid w:val="00B8613A"/>
    <w:rsid w:val="00B87429"/>
    <w:rsid w:val="00B87837"/>
    <w:rsid w:val="00B93467"/>
    <w:rsid w:val="00B93C1C"/>
    <w:rsid w:val="00BA1A4C"/>
    <w:rsid w:val="00BA2C2E"/>
    <w:rsid w:val="00BA776E"/>
    <w:rsid w:val="00BA7B3D"/>
    <w:rsid w:val="00BB0BD3"/>
    <w:rsid w:val="00BB1AB7"/>
    <w:rsid w:val="00BB297A"/>
    <w:rsid w:val="00BB4169"/>
    <w:rsid w:val="00BB65D4"/>
    <w:rsid w:val="00BB6991"/>
    <w:rsid w:val="00BB6D4C"/>
    <w:rsid w:val="00BC4A1F"/>
    <w:rsid w:val="00BC6D66"/>
    <w:rsid w:val="00BD2C17"/>
    <w:rsid w:val="00BD6835"/>
    <w:rsid w:val="00BD773B"/>
    <w:rsid w:val="00BE28D9"/>
    <w:rsid w:val="00BE33CD"/>
    <w:rsid w:val="00BF2708"/>
    <w:rsid w:val="00BF62F0"/>
    <w:rsid w:val="00BF6BFA"/>
    <w:rsid w:val="00C0042D"/>
    <w:rsid w:val="00C03FFC"/>
    <w:rsid w:val="00C04764"/>
    <w:rsid w:val="00C05B83"/>
    <w:rsid w:val="00C06A8C"/>
    <w:rsid w:val="00C07C55"/>
    <w:rsid w:val="00C100F8"/>
    <w:rsid w:val="00C11CD1"/>
    <w:rsid w:val="00C15678"/>
    <w:rsid w:val="00C168FA"/>
    <w:rsid w:val="00C24B0E"/>
    <w:rsid w:val="00C250B6"/>
    <w:rsid w:val="00C26A4B"/>
    <w:rsid w:val="00C2776A"/>
    <w:rsid w:val="00C30735"/>
    <w:rsid w:val="00C32A0E"/>
    <w:rsid w:val="00C343F5"/>
    <w:rsid w:val="00C36BF3"/>
    <w:rsid w:val="00C3709E"/>
    <w:rsid w:val="00C40F9E"/>
    <w:rsid w:val="00C450A1"/>
    <w:rsid w:val="00C46623"/>
    <w:rsid w:val="00C51731"/>
    <w:rsid w:val="00C52FC7"/>
    <w:rsid w:val="00C5551E"/>
    <w:rsid w:val="00C556FF"/>
    <w:rsid w:val="00C61EED"/>
    <w:rsid w:val="00C7058D"/>
    <w:rsid w:val="00C746A8"/>
    <w:rsid w:val="00C8547D"/>
    <w:rsid w:val="00C86AF2"/>
    <w:rsid w:val="00C91850"/>
    <w:rsid w:val="00C957F1"/>
    <w:rsid w:val="00CA1B43"/>
    <w:rsid w:val="00CA54C9"/>
    <w:rsid w:val="00CA5654"/>
    <w:rsid w:val="00CA5D29"/>
    <w:rsid w:val="00CA6CDC"/>
    <w:rsid w:val="00CB1B13"/>
    <w:rsid w:val="00CB74E2"/>
    <w:rsid w:val="00CB76C6"/>
    <w:rsid w:val="00CB7DAD"/>
    <w:rsid w:val="00CC0669"/>
    <w:rsid w:val="00CC06C1"/>
    <w:rsid w:val="00CC3AD8"/>
    <w:rsid w:val="00CC4651"/>
    <w:rsid w:val="00CC518E"/>
    <w:rsid w:val="00CC5E8E"/>
    <w:rsid w:val="00CD067C"/>
    <w:rsid w:val="00CF03D9"/>
    <w:rsid w:val="00CF0BC0"/>
    <w:rsid w:val="00CF317F"/>
    <w:rsid w:val="00D047A3"/>
    <w:rsid w:val="00D0505B"/>
    <w:rsid w:val="00D12694"/>
    <w:rsid w:val="00D20542"/>
    <w:rsid w:val="00D2227B"/>
    <w:rsid w:val="00D27281"/>
    <w:rsid w:val="00D27321"/>
    <w:rsid w:val="00D27703"/>
    <w:rsid w:val="00D3131C"/>
    <w:rsid w:val="00D32535"/>
    <w:rsid w:val="00D32ED2"/>
    <w:rsid w:val="00D3369B"/>
    <w:rsid w:val="00D338C2"/>
    <w:rsid w:val="00D345BE"/>
    <w:rsid w:val="00D3512F"/>
    <w:rsid w:val="00D35BF7"/>
    <w:rsid w:val="00D40B18"/>
    <w:rsid w:val="00D44481"/>
    <w:rsid w:val="00D448B2"/>
    <w:rsid w:val="00D46FA3"/>
    <w:rsid w:val="00D51993"/>
    <w:rsid w:val="00D53454"/>
    <w:rsid w:val="00D55CE9"/>
    <w:rsid w:val="00D60DB7"/>
    <w:rsid w:val="00D660E5"/>
    <w:rsid w:val="00D72BB5"/>
    <w:rsid w:val="00D7332F"/>
    <w:rsid w:val="00D7463D"/>
    <w:rsid w:val="00D74B44"/>
    <w:rsid w:val="00D91908"/>
    <w:rsid w:val="00DA1687"/>
    <w:rsid w:val="00DA2C4E"/>
    <w:rsid w:val="00DA58FE"/>
    <w:rsid w:val="00DB4557"/>
    <w:rsid w:val="00DB794C"/>
    <w:rsid w:val="00DC0510"/>
    <w:rsid w:val="00DC15D8"/>
    <w:rsid w:val="00DC39EF"/>
    <w:rsid w:val="00DC3F6B"/>
    <w:rsid w:val="00DC5378"/>
    <w:rsid w:val="00DC68B0"/>
    <w:rsid w:val="00DC71C2"/>
    <w:rsid w:val="00DC7867"/>
    <w:rsid w:val="00DD32DC"/>
    <w:rsid w:val="00DD3347"/>
    <w:rsid w:val="00DD7F8C"/>
    <w:rsid w:val="00DE1309"/>
    <w:rsid w:val="00DE176B"/>
    <w:rsid w:val="00DE4E20"/>
    <w:rsid w:val="00DE6B37"/>
    <w:rsid w:val="00DF075A"/>
    <w:rsid w:val="00DF52A9"/>
    <w:rsid w:val="00DF60F4"/>
    <w:rsid w:val="00E0286A"/>
    <w:rsid w:val="00E04F44"/>
    <w:rsid w:val="00E05B5C"/>
    <w:rsid w:val="00E1136B"/>
    <w:rsid w:val="00E11E52"/>
    <w:rsid w:val="00E14AF2"/>
    <w:rsid w:val="00E15328"/>
    <w:rsid w:val="00E15BA4"/>
    <w:rsid w:val="00E1613D"/>
    <w:rsid w:val="00E17F25"/>
    <w:rsid w:val="00E2144B"/>
    <w:rsid w:val="00E25358"/>
    <w:rsid w:val="00E256A7"/>
    <w:rsid w:val="00E3002F"/>
    <w:rsid w:val="00E30831"/>
    <w:rsid w:val="00E30982"/>
    <w:rsid w:val="00E36801"/>
    <w:rsid w:val="00E46451"/>
    <w:rsid w:val="00E538FD"/>
    <w:rsid w:val="00E5655A"/>
    <w:rsid w:val="00E65470"/>
    <w:rsid w:val="00E70D0E"/>
    <w:rsid w:val="00E71657"/>
    <w:rsid w:val="00E71814"/>
    <w:rsid w:val="00E7237C"/>
    <w:rsid w:val="00E725CD"/>
    <w:rsid w:val="00E746C4"/>
    <w:rsid w:val="00E74891"/>
    <w:rsid w:val="00E74EC4"/>
    <w:rsid w:val="00E760E5"/>
    <w:rsid w:val="00E80231"/>
    <w:rsid w:val="00E8669B"/>
    <w:rsid w:val="00E87412"/>
    <w:rsid w:val="00E92C81"/>
    <w:rsid w:val="00E954CD"/>
    <w:rsid w:val="00EA3006"/>
    <w:rsid w:val="00EA6955"/>
    <w:rsid w:val="00EC2284"/>
    <w:rsid w:val="00EC4384"/>
    <w:rsid w:val="00EC52D7"/>
    <w:rsid w:val="00EC5913"/>
    <w:rsid w:val="00ED072E"/>
    <w:rsid w:val="00ED11E2"/>
    <w:rsid w:val="00ED4AB0"/>
    <w:rsid w:val="00EE1333"/>
    <w:rsid w:val="00EE3354"/>
    <w:rsid w:val="00EE3409"/>
    <w:rsid w:val="00EE4374"/>
    <w:rsid w:val="00EE5F91"/>
    <w:rsid w:val="00EF33ED"/>
    <w:rsid w:val="00EF4509"/>
    <w:rsid w:val="00EF4D00"/>
    <w:rsid w:val="00EF583B"/>
    <w:rsid w:val="00EF79F4"/>
    <w:rsid w:val="00F02B6D"/>
    <w:rsid w:val="00F04856"/>
    <w:rsid w:val="00F14401"/>
    <w:rsid w:val="00F2385A"/>
    <w:rsid w:val="00F25354"/>
    <w:rsid w:val="00F3161B"/>
    <w:rsid w:val="00F35F38"/>
    <w:rsid w:val="00F35FD8"/>
    <w:rsid w:val="00F36FE7"/>
    <w:rsid w:val="00F403DD"/>
    <w:rsid w:val="00F470F5"/>
    <w:rsid w:val="00F476E1"/>
    <w:rsid w:val="00F5116F"/>
    <w:rsid w:val="00F53042"/>
    <w:rsid w:val="00F53315"/>
    <w:rsid w:val="00F53980"/>
    <w:rsid w:val="00F55A6C"/>
    <w:rsid w:val="00F55BFF"/>
    <w:rsid w:val="00F56A9F"/>
    <w:rsid w:val="00F61174"/>
    <w:rsid w:val="00F64246"/>
    <w:rsid w:val="00F75D4E"/>
    <w:rsid w:val="00F808E9"/>
    <w:rsid w:val="00F83F1C"/>
    <w:rsid w:val="00F84AA3"/>
    <w:rsid w:val="00F85B96"/>
    <w:rsid w:val="00F8686A"/>
    <w:rsid w:val="00F94EE1"/>
    <w:rsid w:val="00FA13BC"/>
    <w:rsid w:val="00FA16E9"/>
    <w:rsid w:val="00FA60A4"/>
    <w:rsid w:val="00FA70E9"/>
    <w:rsid w:val="00FB32FD"/>
    <w:rsid w:val="00FB49B6"/>
    <w:rsid w:val="00FC3917"/>
    <w:rsid w:val="00FC39D6"/>
    <w:rsid w:val="00FC6E82"/>
    <w:rsid w:val="00FC7557"/>
    <w:rsid w:val="00FC7FEA"/>
    <w:rsid w:val="00FD1218"/>
    <w:rsid w:val="00FD1EB7"/>
    <w:rsid w:val="00FD2518"/>
    <w:rsid w:val="00FD5282"/>
    <w:rsid w:val="00FE0026"/>
    <w:rsid w:val="00FE3B3E"/>
    <w:rsid w:val="00FE3C8B"/>
    <w:rsid w:val="00FE40F7"/>
    <w:rsid w:val="00FE6833"/>
    <w:rsid w:val="00FE6D42"/>
    <w:rsid w:val="00FF091F"/>
    <w:rsid w:val="00FF2F52"/>
    <w:rsid w:val="00FF54D1"/>
    <w:rsid w:val="00FF6294"/>
    <w:rsid w:val="00FF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287DF"/>
  <w15:chartTrackingRefBased/>
  <w15:docId w15:val="{75A16765-AABD-4B1B-8951-3EB32F01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A73"/>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5F3A73"/>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5F3A73"/>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F3A73"/>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5F3A73"/>
    <w:pPr>
      <w:keepNext/>
      <w:autoSpaceDE w:val="0"/>
      <w:autoSpaceDN w:val="0"/>
      <w:jc w:val="center"/>
      <w:outlineLvl w:val="3"/>
    </w:pPr>
    <w:rPr>
      <w:b/>
      <w:bCs/>
      <w:sz w:val="72"/>
      <w:szCs w:val="72"/>
      <w:lang w:val="en-US" w:eastAsia="en-US"/>
    </w:rPr>
  </w:style>
  <w:style w:type="paragraph" w:styleId="Heading5">
    <w:name w:val="heading 5"/>
    <w:basedOn w:val="Normal"/>
    <w:next w:val="Normal"/>
    <w:link w:val="Heading5Char"/>
    <w:qFormat/>
    <w:rsid w:val="005F3A73"/>
    <w:pPr>
      <w:keepNext/>
      <w:numPr>
        <w:numId w:val="1"/>
      </w:numPr>
      <w:spacing w:before="240"/>
      <w:jc w:val="both"/>
      <w:outlineLvl w:val="4"/>
    </w:pPr>
    <w:rPr>
      <w:color w:val="000080"/>
      <w:sz w:val="28"/>
      <w:szCs w:val="20"/>
      <w:lang w:val="ro-MD" w:eastAsia="en-US"/>
    </w:rPr>
  </w:style>
  <w:style w:type="paragraph" w:styleId="Heading8">
    <w:name w:val="heading 8"/>
    <w:basedOn w:val="Normal"/>
    <w:next w:val="Normal"/>
    <w:link w:val="Heading8Char"/>
    <w:qFormat/>
    <w:rsid w:val="005F3A73"/>
    <w:pPr>
      <w:spacing w:before="240" w:after="60"/>
      <w:outlineLvl w:val="7"/>
    </w:pPr>
    <w:rPr>
      <w:i/>
      <w:iCs/>
    </w:rPr>
  </w:style>
  <w:style w:type="paragraph" w:styleId="Heading9">
    <w:name w:val="heading 9"/>
    <w:basedOn w:val="Normal"/>
    <w:next w:val="Normal"/>
    <w:link w:val="Heading9Char"/>
    <w:qFormat/>
    <w:rsid w:val="005F3A73"/>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3A73"/>
    <w:rPr>
      <w:rFonts w:ascii="Arial" w:eastAsia="Times New Roman" w:hAnsi="Arial" w:cs="Times New Roman"/>
      <w:b/>
      <w:bCs/>
      <w:kern w:val="32"/>
      <w:sz w:val="32"/>
      <w:szCs w:val="32"/>
      <w:lang w:val="ru-RU" w:eastAsia="ru-RU"/>
    </w:rPr>
  </w:style>
  <w:style w:type="character" w:customStyle="1" w:styleId="Heading2Char">
    <w:name w:val="Heading 2 Char"/>
    <w:basedOn w:val="DefaultParagraphFont"/>
    <w:link w:val="Heading2"/>
    <w:rsid w:val="005F3A73"/>
    <w:rPr>
      <w:rFonts w:ascii="Arial" w:eastAsia="Times New Roman" w:hAnsi="Arial" w:cs="Times New Roman"/>
      <w:b/>
      <w:bCs/>
      <w:i/>
      <w:iCs/>
      <w:sz w:val="28"/>
      <w:szCs w:val="28"/>
      <w:lang w:val="ru-RU" w:eastAsia="ru-RU"/>
    </w:rPr>
  </w:style>
  <w:style w:type="character" w:customStyle="1" w:styleId="Heading3Char">
    <w:name w:val="Heading 3 Char"/>
    <w:basedOn w:val="DefaultParagraphFont"/>
    <w:link w:val="Heading3"/>
    <w:rsid w:val="005F3A73"/>
    <w:rPr>
      <w:rFonts w:ascii="Arial" w:eastAsia="Times New Roman" w:hAnsi="Arial" w:cs="Times New Roman"/>
      <w:b/>
      <w:bCs/>
      <w:sz w:val="26"/>
      <w:szCs w:val="26"/>
      <w:lang w:val="ru-RU" w:eastAsia="ru-RU"/>
    </w:rPr>
  </w:style>
  <w:style w:type="character" w:customStyle="1" w:styleId="Heading4Char">
    <w:name w:val="Heading 4 Char"/>
    <w:basedOn w:val="DefaultParagraphFont"/>
    <w:link w:val="Heading4"/>
    <w:rsid w:val="005F3A73"/>
    <w:rPr>
      <w:rFonts w:ascii="Times New Roman" w:eastAsia="Times New Roman" w:hAnsi="Times New Roman" w:cs="Times New Roman"/>
      <w:b/>
      <w:bCs/>
      <w:sz w:val="72"/>
      <w:szCs w:val="72"/>
    </w:rPr>
  </w:style>
  <w:style w:type="character" w:customStyle="1" w:styleId="Heading5Char">
    <w:name w:val="Heading 5 Char"/>
    <w:basedOn w:val="DefaultParagraphFont"/>
    <w:link w:val="Heading5"/>
    <w:rsid w:val="005F3A73"/>
    <w:rPr>
      <w:rFonts w:ascii="Times New Roman" w:eastAsia="Times New Roman" w:hAnsi="Times New Roman" w:cs="Times New Roman"/>
      <w:color w:val="000080"/>
      <w:sz w:val="28"/>
      <w:szCs w:val="20"/>
      <w:lang w:val="ro-MD"/>
    </w:rPr>
  </w:style>
  <w:style w:type="character" w:customStyle="1" w:styleId="Heading8Char">
    <w:name w:val="Heading 8 Char"/>
    <w:basedOn w:val="DefaultParagraphFont"/>
    <w:link w:val="Heading8"/>
    <w:rsid w:val="005F3A73"/>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5F3A73"/>
    <w:rPr>
      <w:rFonts w:ascii="Arial" w:eastAsia="Times New Roman" w:hAnsi="Arial" w:cs="Times New Roman"/>
      <w:lang w:val="ru-RU" w:eastAsia="ru-RU"/>
    </w:rPr>
  </w:style>
  <w:style w:type="table" w:styleId="TableGrid">
    <w:name w:val="Table Grid"/>
    <w:basedOn w:val="TableNormal"/>
    <w:uiPriority w:val="39"/>
    <w:rsid w:val="005F3A73"/>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5F3A73"/>
    <w:pPr>
      <w:ind w:firstLine="567"/>
      <w:jc w:val="both"/>
    </w:pPr>
    <w:rPr>
      <w:lang w:bidi="or-IN"/>
    </w:rPr>
  </w:style>
  <w:style w:type="character" w:customStyle="1" w:styleId="NormalWebChar">
    <w:name w:val="Normal (Web) Char"/>
    <w:link w:val="NormalWeb"/>
    <w:uiPriority w:val="99"/>
    <w:rsid w:val="005F3A73"/>
    <w:rPr>
      <w:rFonts w:ascii="Times New Roman" w:eastAsia="Times New Roman" w:hAnsi="Times New Roman" w:cs="Times New Roman"/>
      <w:sz w:val="24"/>
      <w:szCs w:val="24"/>
      <w:lang w:val="ru-RU" w:eastAsia="ru-RU" w:bidi="or-IN"/>
    </w:rPr>
  </w:style>
  <w:style w:type="paragraph" w:styleId="BodyTextIndent">
    <w:name w:val="Body Text Indent"/>
    <w:basedOn w:val="Normal"/>
    <w:link w:val="BodyTextIndentChar"/>
    <w:rsid w:val="005F3A73"/>
    <w:pPr>
      <w:autoSpaceDE w:val="0"/>
      <w:autoSpaceDN w:val="0"/>
      <w:spacing w:before="240"/>
      <w:ind w:firstLine="720"/>
      <w:jc w:val="both"/>
    </w:pPr>
    <w:rPr>
      <w:sz w:val="28"/>
      <w:szCs w:val="28"/>
      <w:lang w:eastAsia="en-US"/>
    </w:rPr>
  </w:style>
  <w:style w:type="character" w:customStyle="1" w:styleId="BodyTextIndentChar">
    <w:name w:val="Body Text Indent Char"/>
    <w:basedOn w:val="DefaultParagraphFont"/>
    <w:link w:val="BodyTextIndent"/>
    <w:rsid w:val="005F3A73"/>
    <w:rPr>
      <w:rFonts w:ascii="Times New Roman" w:eastAsia="Times New Roman" w:hAnsi="Times New Roman" w:cs="Times New Roman"/>
      <w:sz w:val="28"/>
      <w:szCs w:val="28"/>
      <w:lang w:val="ru-RU"/>
    </w:rPr>
  </w:style>
  <w:style w:type="paragraph" w:styleId="Header">
    <w:name w:val="header"/>
    <w:basedOn w:val="Normal"/>
    <w:link w:val="HeaderChar"/>
    <w:rsid w:val="005F3A73"/>
    <w:pPr>
      <w:tabs>
        <w:tab w:val="center" w:pos="4320"/>
        <w:tab w:val="right" w:pos="8640"/>
      </w:tabs>
      <w:jc w:val="both"/>
    </w:pPr>
    <w:rPr>
      <w:sz w:val="28"/>
      <w:szCs w:val="20"/>
      <w:lang w:val="ro-RO" w:eastAsia="en-US"/>
    </w:rPr>
  </w:style>
  <w:style w:type="character" w:customStyle="1" w:styleId="HeaderChar">
    <w:name w:val="Header Char"/>
    <w:basedOn w:val="DefaultParagraphFont"/>
    <w:link w:val="Header"/>
    <w:rsid w:val="005F3A73"/>
    <w:rPr>
      <w:rFonts w:ascii="Times New Roman" w:eastAsia="Times New Roman" w:hAnsi="Times New Roman" w:cs="Times New Roman"/>
      <w:sz w:val="28"/>
      <w:szCs w:val="20"/>
      <w:lang w:val="ro-RO"/>
    </w:rPr>
  </w:style>
  <w:style w:type="paragraph" w:styleId="BodyTextIndent2">
    <w:name w:val="Body Text Indent 2"/>
    <w:basedOn w:val="Normal"/>
    <w:link w:val="BodyTextIndent2Char"/>
    <w:rsid w:val="005F3A73"/>
    <w:pPr>
      <w:spacing w:after="120" w:line="480" w:lineRule="auto"/>
      <w:ind w:left="283"/>
    </w:pPr>
  </w:style>
  <w:style w:type="character" w:customStyle="1" w:styleId="BodyTextIndent2Char">
    <w:name w:val="Body Text Indent 2 Char"/>
    <w:basedOn w:val="DefaultParagraphFont"/>
    <w:link w:val="BodyTextIndent2"/>
    <w:rsid w:val="005F3A73"/>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semiHidden/>
    <w:rsid w:val="005F3A73"/>
    <w:pPr>
      <w:jc w:val="both"/>
    </w:pPr>
    <w:rPr>
      <w:sz w:val="20"/>
      <w:szCs w:val="20"/>
      <w:lang w:val="ro-RO" w:eastAsia="en-US"/>
    </w:rPr>
  </w:style>
  <w:style w:type="character" w:customStyle="1" w:styleId="FootnoteTextChar">
    <w:name w:val="Footnote Text Char"/>
    <w:basedOn w:val="DefaultParagraphFont"/>
    <w:link w:val="FootnoteText"/>
    <w:semiHidden/>
    <w:rsid w:val="005F3A73"/>
    <w:rPr>
      <w:rFonts w:ascii="Times New Roman" w:eastAsia="Times New Roman" w:hAnsi="Times New Roman" w:cs="Times New Roman"/>
      <w:sz w:val="20"/>
      <w:szCs w:val="20"/>
      <w:lang w:val="ro-RO"/>
    </w:rPr>
  </w:style>
  <w:style w:type="paragraph" w:styleId="Footer">
    <w:name w:val="footer"/>
    <w:basedOn w:val="Normal"/>
    <w:link w:val="FooterChar"/>
    <w:rsid w:val="005F3A73"/>
    <w:pPr>
      <w:tabs>
        <w:tab w:val="center" w:pos="4677"/>
        <w:tab w:val="right" w:pos="9355"/>
      </w:tabs>
    </w:pPr>
  </w:style>
  <w:style w:type="character" w:customStyle="1" w:styleId="FooterChar">
    <w:name w:val="Footer Char"/>
    <w:basedOn w:val="DefaultParagraphFont"/>
    <w:link w:val="Footer"/>
    <w:rsid w:val="005F3A73"/>
    <w:rPr>
      <w:rFonts w:ascii="Times New Roman" w:eastAsia="Times New Roman" w:hAnsi="Times New Roman" w:cs="Times New Roman"/>
      <w:sz w:val="24"/>
      <w:szCs w:val="24"/>
      <w:lang w:val="ru-RU" w:eastAsia="ru-RU"/>
    </w:rPr>
  </w:style>
  <w:style w:type="paragraph" w:styleId="BodyTextIndent3">
    <w:name w:val="Body Text Indent 3"/>
    <w:basedOn w:val="Normal"/>
    <w:link w:val="BodyTextIndent3Char"/>
    <w:rsid w:val="005F3A73"/>
    <w:pPr>
      <w:spacing w:after="120"/>
      <w:ind w:left="283"/>
    </w:pPr>
    <w:rPr>
      <w:sz w:val="16"/>
      <w:szCs w:val="16"/>
    </w:rPr>
  </w:style>
  <w:style w:type="character" w:customStyle="1" w:styleId="BodyTextIndent3Char">
    <w:name w:val="Body Text Indent 3 Char"/>
    <w:basedOn w:val="DefaultParagraphFont"/>
    <w:link w:val="BodyTextIndent3"/>
    <w:rsid w:val="005F3A73"/>
    <w:rPr>
      <w:rFonts w:ascii="Times New Roman" w:eastAsia="Times New Roman" w:hAnsi="Times New Roman" w:cs="Times New Roman"/>
      <w:sz w:val="16"/>
      <w:szCs w:val="16"/>
      <w:lang w:val="ru-RU" w:eastAsia="ru-RU"/>
    </w:rPr>
  </w:style>
  <w:style w:type="paragraph" w:styleId="BodyText2">
    <w:name w:val="Body Text 2"/>
    <w:basedOn w:val="Normal"/>
    <w:link w:val="BodyText2Char"/>
    <w:rsid w:val="005F3A73"/>
    <w:pPr>
      <w:spacing w:after="120" w:line="480" w:lineRule="auto"/>
    </w:pPr>
  </w:style>
  <w:style w:type="character" w:customStyle="1" w:styleId="BodyText2Char">
    <w:name w:val="Body Text 2 Char"/>
    <w:basedOn w:val="DefaultParagraphFont"/>
    <w:link w:val="BodyText2"/>
    <w:rsid w:val="005F3A73"/>
    <w:rPr>
      <w:rFonts w:ascii="Times New Roman" w:eastAsia="Times New Roman" w:hAnsi="Times New Roman" w:cs="Times New Roman"/>
      <w:sz w:val="24"/>
      <w:szCs w:val="24"/>
      <w:lang w:val="ru-RU" w:eastAsia="ru-RU"/>
    </w:rPr>
  </w:style>
  <w:style w:type="character" w:customStyle="1" w:styleId="acttlitera">
    <w:name w:val="act_tlitera"/>
    <w:basedOn w:val="DefaultParagraphFont"/>
    <w:rsid w:val="005F3A73"/>
  </w:style>
  <w:style w:type="paragraph" w:customStyle="1" w:styleId="cp">
    <w:name w:val="cp"/>
    <w:basedOn w:val="Normal"/>
    <w:rsid w:val="005F3A73"/>
    <w:pPr>
      <w:jc w:val="center"/>
    </w:pPr>
    <w:rPr>
      <w:b/>
      <w:bCs/>
      <w:lang w:bidi="or-IN"/>
    </w:rPr>
  </w:style>
  <w:style w:type="paragraph" w:customStyle="1" w:styleId="md">
    <w:name w:val="md"/>
    <w:basedOn w:val="Normal"/>
    <w:rsid w:val="005F3A73"/>
    <w:pPr>
      <w:ind w:firstLine="567"/>
      <w:jc w:val="both"/>
    </w:pPr>
    <w:rPr>
      <w:i/>
      <w:iCs/>
      <w:color w:val="663300"/>
      <w:sz w:val="20"/>
      <w:szCs w:val="20"/>
      <w:lang w:bidi="or-IN"/>
    </w:rPr>
  </w:style>
  <w:style w:type="paragraph" w:styleId="BodyText3">
    <w:name w:val="Body Text 3"/>
    <w:basedOn w:val="Normal"/>
    <w:link w:val="BodyText3Char"/>
    <w:rsid w:val="005F3A73"/>
    <w:pPr>
      <w:spacing w:after="120"/>
    </w:pPr>
    <w:rPr>
      <w:sz w:val="16"/>
      <w:szCs w:val="16"/>
    </w:rPr>
  </w:style>
  <w:style w:type="character" w:customStyle="1" w:styleId="BodyText3Char">
    <w:name w:val="Body Text 3 Char"/>
    <w:basedOn w:val="DefaultParagraphFont"/>
    <w:link w:val="BodyText3"/>
    <w:rsid w:val="005F3A73"/>
    <w:rPr>
      <w:rFonts w:ascii="Times New Roman" w:eastAsia="Times New Roman" w:hAnsi="Times New Roman" w:cs="Times New Roman"/>
      <w:sz w:val="16"/>
      <w:szCs w:val="16"/>
      <w:lang w:val="ru-RU" w:eastAsia="ru-RU"/>
    </w:rPr>
  </w:style>
  <w:style w:type="character" w:styleId="Strong">
    <w:name w:val="Strong"/>
    <w:uiPriority w:val="22"/>
    <w:qFormat/>
    <w:rsid w:val="005F3A73"/>
    <w:rPr>
      <w:b/>
      <w:bCs/>
    </w:rPr>
  </w:style>
  <w:style w:type="character" w:customStyle="1" w:styleId="a">
    <w:name w:val="a"/>
    <w:basedOn w:val="DefaultParagraphFont"/>
    <w:rsid w:val="005F3A73"/>
  </w:style>
  <w:style w:type="paragraph" w:customStyle="1" w:styleId="cb">
    <w:name w:val="cb"/>
    <w:basedOn w:val="Normal"/>
    <w:rsid w:val="005F3A73"/>
    <w:pPr>
      <w:jc w:val="center"/>
    </w:pPr>
    <w:rPr>
      <w:b/>
      <w:bCs/>
      <w:lang w:bidi="or-IN"/>
    </w:rPr>
  </w:style>
  <w:style w:type="paragraph" w:customStyle="1" w:styleId="cn">
    <w:name w:val="cn"/>
    <w:basedOn w:val="Normal"/>
    <w:rsid w:val="005F3A73"/>
    <w:pPr>
      <w:jc w:val="center"/>
    </w:pPr>
    <w:rPr>
      <w:lang w:bidi="or-IN"/>
    </w:rPr>
  </w:style>
  <w:style w:type="paragraph" w:customStyle="1" w:styleId="tt">
    <w:name w:val="tt"/>
    <w:basedOn w:val="Normal"/>
    <w:rsid w:val="005F3A73"/>
    <w:pPr>
      <w:jc w:val="center"/>
    </w:pPr>
    <w:rPr>
      <w:b/>
      <w:bCs/>
      <w:lang w:bidi="or-IN"/>
    </w:rPr>
  </w:style>
  <w:style w:type="paragraph" w:customStyle="1" w:styleId="a0">
    <w:name w:val="Знак"/>
    <w:basedOn w:val="Normal"/>
    <w:rsid w:val="005F3A73"/>
    <w:pPr>
      <w:spacing w:after="160" w:line="240" w:lineRule="exact"/>
    </w:pPr>
    <w:rPr>
      <w:rFonts w:ascii="Arial" w:eastAsia="Batang" w:hAnsi="Arial" w:cs="Arial"/>
      <w:sz w:val="20"/>
      <w:szCs w:val="20"/>
      <w:lang w:val="en-US" w:eastAsia="en-US"/>
    </w:rPr>
  </w:style>
  <w:style w:type="paragraph" w:styleId="BodyText">
    <w:name w:val="Body Text"/>
    <w:basedOn w:val="Normal"/>
    <w:link w:val="BodyTextChar"/>
    <w:rsid w:val="005F3A73"/>
    <w:pPr>
      <w:spacing w:after="120"/>
    </w:pPr>
  </w:style>
  <w:style w:type="character" w:customStyle="1" w:styleId="BodyTextChar">
    <w:name w:val="Body Text Char"/>
    <w:basedOn w:val="DefaultParagraphFont"/>
    <w:link w:val="BodyText"/>
    <w:rsid w:val="005F3A73"/>
    <w:rPr>
      <w:rFonts w:ascii="Times New Roman" w:eastAsia="Times New Roman" w:hAnsi="Times New Roman" w:cs="Times New Roman"/>
      <w:sz w:val="24"/>
      <w:szCs w:val="24"/>
      <w:lang w:val="ru-RU" w:eastAsia="ru-RU"/>
    </w:rPr>
  </w:style>
  <w:style w:type="character" w:customStyle="1" w:styleId="BalloonTextChar">
    <w:name w:val="Balloon Text Char"/>
    <w:basedOn w:val="DefaultParagraphFont"/>
    <w:link w:val="BalloonText"/>
    <w:semiHidden/>
    <w:rsid w:val="005F3A73"/>
    <w:rPr>
      <w:rFonts w:ascii="Tahoma" w:eastAsia="Times New Roman" w:hAnsi="Tahoma" w:cs="Times New Roman"/>
      <w:sz w:val="16"/>
      <w:szCs w:val="16"/>
      <w:lang w:val="ru-RU" w:eastAsia="ru-RU"/>
    </w:rPr>
  </w:style>
  <w:style w:type="paragraph" w:styleId="BalloonText">
    <w:name w:val="Balloon Text"/>
    <w:basedOn w:val="Normal"/>
    <w:link w:val="BalloonTextChar"/>
    <w:semiHidden/>
    <w:rsid w:val="005F3A73"/>
    <w:rPr>
      <w:rFonts w:ascii="Tahoma" w:hAnsi="Tahoma"/>
      <w:sz w:val="16"/>
      <w:szCs w:val="16"/>
    </w:rPr>
  </w:style>
  <w:style w:type="paragraph" w:styleId="HTMLPreformatted">
    <w:name w:val="HTML Preformatted"/>
    <w:basedOn w:val="Normal"/>
    <w:link w:val="HTMLPreformattedChar"/>
    <w:rsid w:val="005F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or-IN"/>
    </w:rPr>
  </w:style>
  <w:style w:type="character" w:customStyle="1" w:styleId="HTMLPreformattedChar">
    <w:name w:val="HTML Preformatted Char"/>
    <w:basedOn w:val="DefaultParagraphFont"/>
    <w:link w:val="HTMLPreformatted"/>
    <w:rsid w:val="005F3A73"/>
    <w:rPr>
      <w:rFonts w:ascii="Courier New" w:eastAsia="Times New Roman" w:hAnsi="Courier New" w:cs="Courier New"/>
      <w:sz w:val="20"/>
      <w:szCs w:val="20"/>
      <w:lang w:val="ru-RU" w:eastAsia="ru-RU" w:bidi="or-IN"/>
    </w:rPr>
  </w:style>
  <w:style w:type="character" w:styleId="Hyperlink">
    <w:name w:val="Hyperlink"/>
    <w:uiPriority w:val="99"/>
    <w:rsid w:val="005F3A73"/>
    <w:rPr>
      <w:color w:val="0000FF"/>
      <w:u w:val="single"/>
    </w:rPr>
  </w:style>
  <w:style w:type="character" w:styleId="PageNumber">
    <w:name w:val="page number"/>
    <w:basedOn w:val="DefaultParagraphFont"/>
    <w:rsid w:val="005F3A73"/>
  </w:style>
  <w:style w:type="paragraph" w:customStyle="1" w:styleId="a1">
    <w:name w:val="Знак Знак"/>
    <w:basedOn w:val="Normal"/>
    <w:next w:val="Normal"/>
    <w:rsid w:val="005F3A73"/>
    <w:pPr>
      <w:spacing w:after="160" w:line="240" w:lineRule="exact"/>
    </w:pPr>
    <w:rPr>
      <w:rFonts w:ascii="Tahoma" w:hAnsi="Tahoma"/>
      <w:szCs w:val="20"/>
      <w:lang w:val="en-US" w:eastAsia="en-US"/>
    </w:rPr>
  </w:style>
  <w:style w:type="paragraph" w:customStyle="1" w:styleId="CM1">
    <w:name w:val="CM1"/>
    <w:basedOn w:val="Normal"/>
    <w:next w:val="Normal"/>
    <w:uiPriority w:val="99"/>
    <w:rsid w:val="005F3A73"/>
    <w:pPr>
      <w:autoSpaceDE w:val="0"/>
      <w:autoSpaceDN w:val="0"/>
      <w:adjustRightInd w:val="0"/>
    </w:pPr>
    <w:rPr>
      <w:rFonts w:ascii="EUAlbertina" w:hAnsi="EUAlbertina"/>
      <w:lang w:val="en-US" w:eastAsia="en-US"/>
    </w:rPr>
  </w:style>
  <w:style w:type="paragraph" w:customStyle="1" w:styleId="CM3">
    <w:name w:val="CM3"/>
    <w:basedOn w:val="Normal"/>
    <w:next w:val="Normal"/>
    <w:uiPriority w:val="99"/>
    <w:rsid w:val="005F3A73"/>
    <w:pPr>
      <w:autoSpaceDE w:val="0"/>
      <w:autoSpaceDN w:val="0"/>
      <w:adjustRightInd w:val="0"/>
    </w:pPr>
    <w:rPr>
      <w:rFonts w:ascii="EUAlbertina" w:hAnsi="EUAlbertina"/>
      <w:lang w:val="en-US" w:eastAsia="en-US"/>
    </w:rPr>
  </w:style>
  <w:style w:type="paragraph" w:customStyle="1" w:styleId="CM4">
    <w:name w:val="CM4"/>
    <w:basedOn w:val="Normal"/>
    <w:next w:val="Normal"/>
    <w:uiPriority w:val="99"/>
    <w:rsid w:val="005F3A73"/>
    <w:pPr>
      <w:autoSpaceDE w:val="0"/>
      <w:autoSpaceDN w:val="0"/>
      <w:adjustRightInd w:val="0"/>
    </w:pPr>
    <w:rPr>
      <w:rFonts w:ascii="EUAlbertina" w:hAnsi="EUAlbertina"/>
      <w:lang w:val="en-US" w:eastAsia="en-US"/>
    </w:rPr>
  </w:style>
  <w:style w:type="paragraph" w:customStyle="1" w:styleId="Default">
    <w:name w:val="Default"/>
    <w:rsid w:val="005F3A73"/>
    <w:pPr>
      <w:autoSpaceDE w:val="0"/>
      <w:autoSpaceDN w:val="0"/>
      <w:adjustRightInd w:val="0"/>
      <w:spacing w:after="0" w:line="240" w:lineRule="auto"/>
    </w:pPr>
    <w:rPr>
      <w:rFonts w:ascii="EUAlbertina" w:eastAsia="Times New Roman" w:hAnsi="EUAlbertina" w:cs="EUAlbertina"/>
      <w:color w:val="000000"/>
      <w:sz w:val="24"/>
      <w:szCs w:val="24"/>
    </w:rPr>
  </w:style>
  <w:style w:type="paragraph" w:customStyle="1" w:styleId="Char">
    <w:name w:val="Char"/>
    <w:basedOn w:val="Normal"/>
    <w:next w:val="Normal"/>
    <w:rsid w:val="005F3A73"/>
    <w:pPr>
      <w:spacing w:after="160" w:line="240" w:lineRule="exact"/>
    </w:pPr>
    <w:rPr>
      <w:rFonts w:ascii="Tahoma" w:hAnsi="Tahoma"/>
      <w:szCs w:val="20"/>
      <w:lang w:val="en-US" w:eastAsia="en-US"/>
    </w:rPr>
  </w:style>
  <w:style w:type="paragraph" w:customStyle="1" w:styleId="js">
    <w:name w:val="js"/>
    <w:basedOn w:val="Normal"/>
    <w:rsid w:val="005F3A73"/>
    <w:pPr>
      <w:jc w:val="both"/>
    </w:pPr>
    <w:rPr>
      <w:lang w:bidi="or-IN"/>
    </w:rPr>
  </w:style>
  <w:style w:type="paragraph" w:styleId="ListParagraph">
    <w:name w:val="List Paragraph"/>
    <w:basedOn w:val="Normal"/>
    <w:uiPriority w:val="34"/>
    <w:qFormat/>
    <w:rsid w:val="005F3A73"/>
    <w:pPr>
      <w:ind w:left="720"/>
      <w:contextualSpacing/>
    </w:pPr>
  </w:style>
  <w:style w:type="character" w:customStyle="1" w:styleId="ln2talineat">
    <w:name w:val="ln2talineat"/>
    <w:rsid w:val="005F3A73"/>
    <w:rPr>
      <w:rFonts w:cs="Times New Roman"/>
    </w:rPr>
  </w:style>
  <w:style w:type="character" w:customStyle="1" w:styleId="actcpt">
    <w:name w:val="act_cpt"/>
    <w:rsid w:val="005F3A73"/>
    <w:rPr>
      <w:rFonts w:cs="Times New Roman"/>
    </w:rPr>
  </w:style>
  <w:style w:type="character" w:customStyle="1" w:styleId="acttart">
    <w:name w:val="act_tart"/>
    <w:rsid w:val="005F3A73"/>
    <w:rPr>
      <w:rFonts w:cs="Times New Roman"/>
    </w:rPr>
  </w:style>
  <w:style w:type="character" w:customStyle="1" w:styleId="acttsct">
    <w:name w:val="act_tsct"/>
    <w:rsid w:val="005F3A73"/>
    <w:rPr>
      <w:rFonts w:cs="Times New Roman"/>
    </w:rPr>
  </w:style>
  <w:style w:type="character" w:customStyle="1" w:styleId="acttalineat">
    <w:name w:val="act_talineat"/>
    <w:rsid w:val="005F3A73"/>
    <w:rPr>
      <w:rFonts w:cs="Times New Roman"/>
    </w:rPr>
  </w:style>
  <w:style w:type="character" w:customStyle="1" w:styleId="actsct">
    <w:name w:val="act_sct"/>
    <w:rsid w:val="005F3A73"/>
    <w:rPr>
      <w:rFonts w:cs="Times New Roman"/>
    </w:rPr>
  </w:style>
  <w:style w:type="character" w:customStyle="1" w:styleId="ln2tarticol">
    <w:name w:val="ln2tarticol"/>
    <w:rsid w:val="005F3A73"/>
    <w:rPr>
      <w:rFonts w:cs="Times New Roman"/>
    </w:rPr>
  </w:style>
  <w:style w:type="character" w:customStyle="1" w:styleId="acttpunct">
    <w:name w:val="act_tpunct"/>
    <w:rsid w:val="005F3A73"/>
    <w:rPr>
      <w:rFonts w:cs="Times New Roman"/>
    </w:rPr>
  </w:style>
  <w:style w:type="character" w:customStyle="1" w:styleId="ln2articol">
    <w:name w:val="ln2articol"/>
    <w:rsid w:val="005F3A73"/>
    <w:rPr>
      <w:rFonts w:cs="Times New Roman"/>
    </w:rPr>
  </w:style>
  <w:style w:type="character" w:customStyle="1" w:styleId="ln2tlitera">
    <w:name w:val="ln2tlitera"/>
    <w:rsid w:val="005F3A73"/>
    <w:rPr>
      <w:rFonts w:cs="Times New Roman"/>
    </w:rPr>
  </w:style>
  <w:style w:type="character" w:customStyle="1" w:styleId="ln2alineat">
    <w:name w:val="ln2alineat"/>
    <w:rsid w:val="005F3A73"/>
    <w:rPr>
      <w:rFonts w:cs="Times New Roman"/>
    </w:rPr>
  </w:style>
  <w:style w:type="character" w:customStyle="1" w:styleId="actart">
    <w:name w:val="act_art"/>
    <w:rsid w:val="005F3A73"/>
    <w:rPr>
      <w:rFonts w:cs="Times New Roman"/>
    </w:rPr>
  </w:style>
  <w:style w:type="character" w:customStyle="1" w:styleId="ln2litera">
    <w:name w:val="ln2litera"/>
    <w:rsid w:val="005F3A73"/>
    <w:rPr>
      <w:rFonts w:cs="Times New Roman"/>
    </w:rPr>
  </w:style>
  <w:style w:type="character" w:customStyle="1" w:styleId="hps">
    <w:name w:val="hps"/>
    <w:rsid w:val="005F3A73"/>
    <w:rPr>
      <w:rFonts w:cs="Times New Roman"/>
    </w:rPr>
  </w:style>
  <w:style w:type="paragraph" w:customStyle="1" w:styleId="title-division-12">
    <w:name w:val="title-division-12"/>
    <w:basedOn w:val="Normal"/>
    <w:rsid w:val="005F3A73"/>
    <w:pPr>
      <w:spacing w:after="120" w:line="312" w:lineRule="atLeast"/>
      <w:jc w:val="center"/>
    </w:pPr>
    <w:rPr>
      <w:lang w:val="en-US" w:eastAsia="en-US"/>
    </w:rPr>
  </w:style>
  <w:style w:type="paragraph" w:customStyle="1" w:styleId="title-division-22">
    <w:name w:val="title-division-22"/>
    <w:basedOn w:val="Normal"/>
    <w:rsid w:val="005F3A73"/>
    <w:pPr>
      <w:spacing w:after="120" w:line="312" w:lineRule="atLeast"/>
      <w:jc w:val="center"/>
    </w:pPr>
    <w:rPr>
      <w:b/>
      <w:bCs/>
      <w:lang w:val="en-US" w:eastAsia="en-US"/>
    </w:rPr>
  </w:style>
  <w:style w:type="paragraph" w:customStyle="1" w:styleId="CM42">
    <w:name w:val="CM4+2"/>
    <w:basedOn w:val="Default"/>
    <w:next w:val="Default"/>
    <w:uiPriority w:val="99"/>
    <w:rsid w:val="005F3A73"/>
    <w:rPr>
      <w:rFonts w:eastAsiaTheme="minorHAnsi" w:cstheme="minorBidi"/>
      <w:color w:val="auto"/>
    </w:rPr>
  </w:style>
  <w:style w:type="paragraph" w:customStyle="1" w:styleId="Style49">
    <w:name w:val="Style49"/>
    <w:basedOn w:val="Normal"/>
    <w:uiPriority w:val="99"/>
    <w:rsid w:val="005F3A73"/>
    <w:pPr>
      <w:widowControl w:val="0"/>
      <w:autoSpaceDE w:val="0"/>
      <w:autoSpaceDN w:val="0"/>
      <w:adjustRightInd w:val="0"/>
      <w:spacing w:line="213" w:lineRule="exact"/>
      <w:ind w:hanging="274"/>
      <w:jc w:val="both"/>
    </w:pPr>
    <w:rPr>
      <w:rFonts w:ascii="Book Antiqua" w:eastAsiaTheme="minorEastAsia" w:hAnsi="Book Antiqua" w:cstheme="minorBidi"/>
      <w:lang w:val="en-US" w:eastAsia="en-US"/>
    </w:rPr>
  </w:style>
  <w:style w:type="character" w:customStyle="1" w:styleId="FontStyle164">
    <w:name w:val="Font Style164"/>
    <w:basedOn w:val="DefaultParagraphFont"/>
    <w:uiPriority w:val="99"/>
    <w:rsid w:val="005F3A73"/>
    <w:rPr>
      <w:rFonts w:ascii="Book Antiqua" w:hAnsi="Book Antiqua" w:cs="Book Antiqua"/>
      <w:color w:val="000000"/>
      <w:sz w:val="16"/>
      <w:szCs w:val="16"/>
    </w:rPr>
  </w:style>
  <w:style w:type="paragraph" w:customStyle="1" w:styleId="Style5">
    <w:name w:val="Style5"/>
    <w:basedOn w:val="Normal"/>
    <w:uiPriority w:val="99"/>
    <w:rsid w:val="005F3A73"/>
    <w:pPr>
      <w:widowControl w:val="0"/>
      <w:autoSpaceDE w:val="0"/>
      <w:autoSpaceDN w:val="0"/>
      <w:adjustRightInd w:val="0"/>
    </w:pPr>
    <w:rPr>
      <w:rFonts w:ascii="Book Antiqua" w:eastAsiaTheme="minorEastAsia" w:hAnsi="Book Antiqua" w:cstheme="minorBidi"/>
      <w:lang w:val="en-US" w:eastAsia="en-US"/>
    </w:rPr>
  </w:style>
  <w:style w:type="paragraph" w:customStyle="1" w:styleId="Style32">
    <w:name w:val="Style32"/>
    <w:basedOn w:val="Normal"/>
    <w:uiPriority w:val="99"/>
    <w:rsid w:val="005F3A73"/>
    <w:pPr>
      <w:widowControl w:val="0"/>
      <w:autoSpaceDE w:val="0"/>
      <w:autoSpaceDN w:val="0"/>
      <w:adjustRightInd w:val="0"/>
      <w:spacing w:line="216" w:lineRule="exact"/>
      <w:jc w:val="both"/>
    </w:pPr>
    <w:rPr>
      <w:rFonts w:ascii="Book Antiqua" w:eastAsiaTheme="minorEastAsia" w:hAnsi="Book Antiqua" w:cstheme="minorBidi"/>
      <w:lang w:val="en-US" w:eastAsia="en-US"/>
    </w:rPr>
  </w:style>
  <w:style w:type="character" w:customStyle="1" w:styleId="FontStyle158">
    <w:name w:val="Font Style158"/>
    <w:basedOn w:val="DefaultParagraphFont"/>
    <w:uiPriority w:val="99"/>
    <w:rsid w:val="005F3A73"/>
    <w:rPr>
      <w:rFonts w:ascii="Book Antiqua" w:hAnsi="Book Antiqua" w:cs="Book Antiqua"/>
      <w:b/>
      <w:bCs/>
      <w:color w:val="000000"/>
      <w:sz w:val="16"/>
      <w:szCs w:val="16"/>
    </w:rPr>
  </w:style>
  <w:style w:type="character" w:customStyle="1" w:styleId="FontStyle163">
    <w:name w:val="Font Style163"/>
    <w:basedOn w:val="DefaultParagraphFont"/>
    <w:uiPriority w:val="99"/>
    <w:rsid w:val="005F3A73"/>
    <w:rPr>
      <w:rFonts w:ascii="Book Antiqua" w:hAnsi="Book Antiqua" w:cs="Book Antiqua"/>
      <w:i/>
      <w:iCs/>
      <w:color w:val="000000"/>
      <w:sz w:val="16"/>
      <w:szCs w:val="16"/>
    </w:rPr>
  </w:style>
  <w:style w:type="character" w:customStyle="1" w:styleId="subscript">
    <w:name w:val="subscript"/>
    <w:basedOn w:val="DefaultParagraphFont"/>
    <w:rsid w:val="005F3A73"/>
  </w:style>
  <w:style w:type="character" w:customStyle="1" w:styleId="apple-converted-space">
    <w:name w:val="apple-converted-space"/>
    <w:basedOn w:val="DefaultParagraphFont"/>
    <w:rsid w:val="005F3A73"/>
  </w:style>
  <w:style w:type="paragraph" w:customStyle="1" w:styleId="Style44">
    <w:name w:val="Style44"/>
    <w:basedOn w:val="Normal"/>
    <w:uiPriority w:val="99"/>
    <w:rsid w:val="005F3A73"/>
    <w:pPr>
      <w:widowControl w:val="0"/>
      <w:autoSpaceDE w:val="0"/>
      <w:autoSpaceDN w:val="0"/>
      <w:adjustRightInd w:val="0"/>
      <w:spacing w:line="168" w:lineRule="exact"/>
      <w:jc w:val="center"/>
    </w:pPr>
    <w:rPr>
      <w:rFonts w:ascii="Book Antiqua" w:eastAsiaTheme="minorEastAsia" w:hAnsi="Book Antiqua" w:cstheme="minorBidi"/>
      <w:lang w:val="en-US" w:eastAsia="en-US"/>
    </w:rPr>
  </w:style>
  <w:style w:type="paragraph" w:customStyle="1" w:styleId="Style58">
    <w:name w:val="Style58"/>
    <w:basedOn w:val="Normal"/>
    <w:uiPriority w:val="99"/>
    <w:rsid w:val="005F3A73"/>
    <w:pPr>
      <w:widowControl w:val="0"/>
      <w:autoSpaceDE w:val="0"/>
      <w:autoSpaceDN w:val="0"/>
      <w:adjustRightInd w:val="0"/>
    </w:pPr>
    <w:rPr>
      <w:rFonts w:ascii="Book Antiqua" w:eastAsiaTheme="minorEastAsia" w:hAnsi="Book Antiqua" w:cstheme="minorBidi"/>
      <w:lang w:val="en-US" w:eastAsia="en-US"/>
    </w:rPr>
  </w:style>
  <w:style w:type="paragraph" w:customStyle="1" w:styleId="Style82">
    <w:name w:val="Style82"/>
    <w:basedOn w:val="Normal"/>
    <w:uiPriority w:val="99"/>
    <w:rsid w:val="005F3A73"/>
    <w:pPr>
      <w:widowControl w:val="0"/>
      <w:autoSpaceDE w:val="0"/>
      <w:autoSpaceDN w:val="0"/>
      <w:adjustRightInd w:val="0"/>
      <w:spacing w:line="192" w:lineRule="exact"/>
      <w:jc w:val="both"/>
    </w:pPr>
    <w:rPr>
      <w:rFonts w:ascii="Book Antiqua" w:eastAsiaTheme="minorEastAsia" w:hAnsi="Book Antiqua" w:cstheme="minorBidi"/>
      <w:lang w:val="en-US" w:eastAsia="en-US"/>
    </w:rPr>
  </w:style>
  <w:style w:type="character" w:customStyle="1" w:styleId="FontStyle159">
    <w:name w:val="Font Style159"/>
    <w:basedOn w:val="DefaultParagraphFont"/>
    <w:uiPriority w:val="99"/>
    <w:rsid w:val="005F3A73"/>
    <w:rPr>
      <w:rFonts w:ascii="Book Antiqua" w:hAnsi="Book Antiqua" w:cs="Book Antiqua"/>
      <w:color w:val="000000"/>
      <w:sz w:val="14"/>
      <w:szCs w:val="14"/>
    </w:rPr>
  </w:style>
  <w:style w:type="character" w:customStyle="1" w:styleId="FontStyle169">
    <w:name w:val="Font Style169"/>
    <w:basedOn w:val="DefaultParagraphFont"/>
    <w:uiPriority w:val="99"/>
    <w:rsid w:val="005F3A73"/>
    <w:rPr>
      <w:rFonts w:ascii="Book Antiqua" w:hAnsi="Book Antiqua" w:cs="Book Antiqua"/>
      <w:color w:val="000000"/>
      <w:sz w:val="12"/>
      <w:szCs w:val="12"/>
    </w:rPr>
  </w:style>
  <w:style w:type="paragraph" w:customStyle="1" w:styleId="Style69">
    <w:name w:val="Style69"/>
    <w:basedOn w:val="Normal"/>
    <w:uiPriority w:val="99"/>
    <w:rsid w:val="005F3A73"/>
    <w:pPr>
      <w:widowControl w:val="0"/>
      <w:autoSpaceDE w:val="0"/>
      <w:autoSpaceDN w:val="0"/>
      <w:adjustRightInd w:val="0"/>
      <w:spacing w:line="192" w:lineRule="exact"/>
    </w:pPr>
    <w:rPr>
      <w:rFonts w:ascii="Book Antiqua" w:eastAsiaTheme="minorEastAsia" w:hAnsi="Book Antiqua" w:cstheme="minorBidi"/>
      <w:lang w:val="en-US" w:eastAsia="en-US"/>
    </w:rPr>
  </w:style>
  <w:style w:type="paragraph" w:customStyle="1" w:styleId="Style95">
    <w:name w:val="Style95"/>
    <w:basedOn w:val="Normal"/>
    <w:uiPriority w:val="99"/>
    <w:rsid w:val="005F3A73"/>
    <w:pPr>
      <w:widowControl w:val="0"/>
      <w:autoSpaceDE w:val="0"/>
      <w:autoSpaceDN w:val="0"/>
      <w:adjustRightInd w:val="0"/>
      <w:jc w:val="right"/>
    </w:pPr>
    <w:rPr>
      <w:rFonts w:ascii="Book Antiqua" w:eastAsiaTheme="minorEastAsia" w:hAnsi="Book Antiqua" w:cstheme="minorBidi"/>
      <w:lang w:val="en-US" w:eastAsia="en-US"/>
    </w:rPr>
  </w:style>
  <w:style w:type="paragraph" w:customStyle="1" w:styleId="Style92">
    <w:name w:val="Style92"/>
    <w:basedOn w:val="Normal"/>
    <w:uiPriority w:val="99"/>
    <w:rsid w:val="005F3A73"/>
    <w:pPr>
      <w:widowControl w:val="0"/>
      <w:autoSpaceDE w:val="0"/>
      <w:autoSpaceDN w:val="0"/>
      <w:adjustRightInd w:val="0"/>
      <w:spacing w:line="170" w:lineRule="exact"/>
      <w:ind w:firstLine="106"/>
    </w:pPr>
    <w:rPr>
      <w:rFonts w:ascii="Book Antiqua" w:eastAsiaTheme="minorEastAsia" w:hAnsi="Book Antiqua" w:cstheme="minorBidi"/>
      <w:lang w:val="en-US" w:eastAsia="en-US"/>
    </w:rPr>
  </w:style>
  <w:style w:type="paragraph" w:customStyle="1" w:styleId="Style99">
    <w:name w:val="Style99"/>
    <w:basedOn w:val="Normal"/>
    <w:uiPriority w:val="99"/>
    <w:rsid w:val="005F3A73"/>
    <w:pPr>
      <w:widowControl w:val="0"/>
      <w:autoSpaceDE w:val="0"/>
      <w:autoSpaceDN w:val="0"/>
      <w:adjustRightInd w:val="0"/>
      <w:spacing w:line="170" w:lineRule="exact"/>
      <w:jc w:val="right"/>
    </w:pPr>
    <w:rPr>
      <w:rFonts w:ascii="Book Antiqua" w:eastAsiaTheme="minorEastAsia" w:hAnsi="Book Antiqua" w:cstheme="minorBidi"/>
      <w:lang w:val="en-US" w:eastAsia="en-US"/>
    </w:rPr>
  </w:style>
  <w:style w:type="character" w:customStyle="1" w:styleId="italics">
    <w:name w:val="italics"/>
    <w:basedOn w:val="DefaultParagraphFont"/>
    <w:rsid w:val="005F3A73"/>
  </w:style>
  <w:style w:type="paragraph" w:customStyle="1" w:styleId="Style79">
    <w:name w:val="Style79"/>
    <w:basedOn w:val="Normal"/>
    <w:uiPriority w:val="99"/>
    <w:rsid w:val="005F3A73"/>
    <w:pPr>
      <w:widowControl w:val="0"/>
      <w:autoSpaceDE w:val="0"/>
      <w:autoSpaceDN w:val="0"/>
      <w:adjustRightInd w:val="0"/>
      <w:spacing w:line="170" w:lineRule="exact"/>
      <w:ind w:firstLine="48"/>
    </w:pPr>
    <w:rPr>
      <w:rFonts w:ascii="Book Antiqua" w:eastAsiaTheme="minorEastAsia" w:hAnsi="Book Antiqua"/>
      <w:lang w:val="en-US" w:eastAsia="en-US"/>
    </w:rPr>
  </w:style>
  <w:style w:type="character" w:customStyle="1" w:styleId="FontStyle161">
    <w:name w:val="Font Style161"/>
    <w:basedOn w:val="DefaultParagraphFont"/>
    <w:uiPriority w:val="99"/>
    <w:rsid w:val="005F3A73"/>
    <w:rPr>
      <w:rFonts w:ascii="Book Antiqua" w:hAnsi="Book Antiqua" w:cs="Book Antiqua" w:hint="default"/>
      <w:i/>
      <w:iCs/>
      <w:color w:val="000000"/>
      <w:sz w:val="14"/>
      <w:szCs w:val="14"/>
    </w:rPr>
  </w:style>
  <w:style w:type="paragraph" w:customStyle="1" w:styleId="Style119">
    <w:name w:val="Style119"/>
    <w:basedOn w:val="Normal"/>
    <w:uiPriority w:val="99"/>
    <w:rsid w:val="005F3A73"/>
    <w:pPr>
      <w:widowControl w:val="0"/>
      <w:autoSpaceDE w:val="0"/>
      <w:autoSpaceDN w:val="0"/>
      <w:adjustRightInd w:val="0"/>
    </w:pPr>
    <w:rPr>
      <w:rFonts w:ascii="Book Antiqua" w:eastAsiaTheme="minorEastAsia" w:hAnsi="Book Antiqua"/>
      <w:lang w:val="en-US" w:eastAsia="en-US"/>
    </w:rPr>
  </w:style>
  <w:style w:type="paragraph" w:customStyle="1" w:styleId="CM14">
    <w:name w:val="CM1+4"/>
    <w:basedOn w:val="Default"/>
    <w:next w:val="Default"/>
    <w:uiPriority w:val="99"/>
    <w:rsid w:val="005F3A73"/>
    <w:rPr>
      <w:rFonts w:eastAsiaTheme="minorHAnsi" w:cstheme="minorBidi"/>
      <w:color w:val="auto"/>
    </w:rPr>
  </w:style>
  <w:style w:type="paragraph" w:customStyle="1" w:styleId="CM44">
    <w:name w:val="CM4+4"/>
    <w:basedOn w:val="Default"/>
    <w:next w:val="Default"/>
    <w:uiPriority w:val="99"/>
    <w:rsid w:val="005F3A73"/>
    <w:rPr>
      <w:rFonts w:eastAsiaTheme="minorHAnsi" w:cstheme="minorBidi"/>
      <w:color w:val="auto"/>
    </w:rPr>
  </w:style>
  <w:style w:type="paragraph" w:customStyle="1" w:styleId="Style125">
    <w:name w:val="Style125"/>
    <w:basedOn w:val="Normal"/>
    <w:uiPriority w:val="99"/>
    <w:rsid w:val="005F3A73"/>
    <w:pPr>
      <w:widowControl w:val="0"/>
      <w:autoSpaceDE w:val="0"/>
      <w:autoSpaceDN w:val="0"/>
      <w:adjustRightInd w:val="0"/>
    </w:pPr>
    <w:rPr>
      <w:rFonts w:ascii="Book Antiqua" w:eastAsiaTheme="minorEastAsia" w:hAnsi="Book Antiqua"/>
      <w:lang w:val="en-US" w:eastAsia="en-US"/>
    </w:rPr>
  </w:style>
  <w:style w:type="character" w:customStyle="1" w:styleId="FontStyle187">
    <w:name w:val="Font Style187"/>
    <w:basedOn w:val="DefaultParagraphFont"/>
    <w:uiPriority w:val="99"/>
    <w:rsid w:val="005F3A73"/>
    <w:rPr>
      <w:rFonts w:ascii="Book Antiqua" w:hAnsi="Book Antiqua" w:cs="Book Antiqua"/>
      <w:color w:val="000000"/>
      <w:sz w:val="14"/>
      <w:szCs w:val="14"/>
    </w:rPr>
  </w:style>
  <w:style w:type="paragraph" w:customStyle="1" w:styleId="CM45">
    <w:name w:val="CM4+5"/>
    <w:basedOn w:val="Default"/>
    <w:next w:val="Default"/>
    <w:uiPriority w:val="99"/>
    <w:rsid w:val="005F3A73"/>
    <w:rPr>
      <w:rFonts w:eastAsiaTheme="minorHAnsi" w:cstheme="minorBidi"/>
      <w:color w:val="auto"/>
    </w:rPr>
  </w:style>
  <w:style w:type="paragraph" w:customStyle="1" w:styleId="CM15">
    <w:name w:val="CM1+5"/>
    <w:basedOn w:val="Default"/>
    <w:next w:val="Default"/>
    <w:uiPriority w:val="99"/>
    <w:rsid w:val="005F3A73"/>
    <w:rPr>
      <w:rFonts w:eastAsiaTheme="minorHAnsi" w:cstheme="minorBidi"/>
      <w:color w:val="auto"/>
    </w:rPr>
  </w:style>
  <w:style w:type="paragraph" w:customStyle="1" w:styleId="Style75">
    <w:name w:val="Style75"/>
    <w:basedOn w:val="Normal"/>
    <w:uiPriority w:val="99"/>
    <w:rsid w:val="005F3A73"/>
    <w:pPr>
      <w:widowControl w:val="0"/>
      <w:autoSpaceDE w:val="0"/>
      <w:autoSpaceDN w:val="0"/>
      <w:adjustRightInd w:val="0"/>
      <w:spacing w:line="341" w:lineRule="exact"/>
      <w:jc w:val="center"/>
    </w:pPr>
    <w:rPr>
      <w:rFonts w:ascii="Book Antiqua" w:eastAsiaTheme="minorEastAsia" w:hAnsi="Book Antiqua" w:cstheme="minorBidi"/>
      <w:lang w:val="en-US" w:eastAsia="en-US"/>
    </w:rPr>
  </w:style>
  <w:style w:type="paragraph" w:customStyle="1" w:styleId="Style78">
    <w:name w:val="Style78"/>
    <w:basedOn w:val="Normal"/>
    <w:uiPriority w:val="99"/>
    <w:rsid w:val="005F3A73"/>
    <w:pPr>
      <w:widowControl w:val="0"/>
      <w:autoSpaceDE w:val="0"/>
      <w:autoSpaceDN w:val="0"/>
      <w:adjustRightInd w:val="0"/>
      <w:jc w:val="right"/>
    </w:pPr>
    <w:rPr>
      <w:rFonts w:ascii="Book Antiqua" w:eastAsiaTheme="minorEastAsia" w:hAnsi="Book Antiqua" w:cstheme="minorBidi"/>
      <w:lang w:val="en-US" w:eastAsia="en-US"/>
    </w:rPr>
  </w:style>
  <w:style w:type="character" w:styleId="CommentReference">
    <w:name w:val="annotation reference"/>
    <w:basedOn w:val="DefaultParagraphFont"/>
    <w:uiPriority w:val="99"/>
    <w:unhideWhenUsed/>
    <w:rsid w:val="005F3A73"/>
    <w:rPr>
      <w:sz w:val="16"/>
      <w:szCs w:val="16"/>
    </w:rPr>
  </w:style>
  <w:style w:type="paragraph" w:styleId="CommentText">
    <w:name w:val="annotation text"/>
    <w:basedOn w:val="Normal"/>
    <w:link w:val="CommentTextChar"/>
    <w:uiPriority w:val="99"/>
    <w:unhideWhenUsed/>
    <w:rsid w:val="005F3A73"/>
    <w:rPr>
      <w:sz w:val="20"/>
      <w:szCs w:val="20"/>
    </w:rPr>
  </w:style>
  <w:style w:type="character" w:customStyle="1" w:styleId="CommentTextChar">
    <w:name w:val="Comment Text Char"/>
    <w:basedOn w:val="DefaultParagraphFont"/>
    <w:link w:val="CommentText"/>
    <w:uiPriority w:val="99"/>
    <w:rsid w:val="005F3A73"/>
    <w:rPr>
      <w:rFonts w:ascii="Times New Roman" w:eastAsia="Times New Roman" w:hAnsi="Times New Roman" w:cs="Times New Roman"/>
      <w:sz w:val="20"/>
      <w:szCs w:val="20"/>
      <w:lang w:val="ru-RU" w:eastAsia="ru-RU"/>
    </w:rPr>
  </w:style>
  <w:style w:type="character" w:customStyle="1" w:styleId="CommentSubjectChar">
    <w:name w:val="Comment Subject Char"/>
    <w:basedOn w:val="CommentTextChar"/>
    <w:link w:val="CommentSubject"/>
    <w:uiPriority w:val="99"/>
    <w:semiHidden/>
    <w:rsid w:val="005F3A73"/>
    <w:rPr>
      <w:rFonts w:ascii="Times New Roman" w:eastAsia="Times New Roman" w:hAnsi="Times New Roman" w:cs="Times New Roman"/>
      <w:b/>
      <w:bCs/>
      <w:sz w:val="20"/>
      <w:szCs w:val="20"/>
      <w:lang w:val="ru-RU" w:eastAsia="ru-RU"/>
    </w:rPr>
  </w:style>
  <w:style w:type="paragraph" w:styleId="CommentSubject">
    <w:name w:val="annotation subject"/>
    <w:basedOn w:val="CommentText"/>
    <w:next w:val="CommentText"/>
    <w:link w:val="CommentSubjectChar"/>
    <w:uiPriority w:val="99"/>
    <w:semiHidden/>
    <w:unhideWhenUsed/>
    <w:rsid w:val="005F3A73"/>
    <w:rPr>
      <w:b/>
      <w:bCs/>
    </w:rPr>
  </w:style>
  <w:style w:type="paragraph" w:customStyle="1" w:styleId="norm">
    <w:name w:val="norm"/>
    <w:basedOn w:val="Normal"/>
    <w:rsid w:val="005F3A73"/>
    <w:pPr>
      <w:spacing w:before="120"/>
      <w:jc w:val="both"/>
    </w:pPr>
    <w:rPr>
      <w:lang w:val="en-US" w:eastAsia="en-US"/>
    </w:rPr>
  </w:style>
  <w:style w:type="paragraph" w:customStyle="1" w:styleId="title-article-norm">
    <w:name w:val="title-article-norm"/>
    <w:basedOn w:val="Normal"/>
    <w:rsid w:val="005F3A73"/>
    <w:pPr>
      <w:spacing w:before="240" w:after="120"/>
      <w:jc w:val="center"/>
    </w:pPr>
    <w:rPr>
      <w:i/>
      <w:iCs/>
      <w:lang w:val="en-US" w:eastAsia="en-US"/>
    </w:rPr>
  </w:style>
  <w:style w:type="paragraph" w:customStyle="1" w:styleId="footnote-spec">
    <w:name w:val="footnote-spec"/>
    <w:basedOn w:val="Normal"/>
    <w:rsid w:val="005F3A73"/>
    <w:pPr>
      <w:spacing w:before="60"/>
      <w:jc w:val="both"/>
    </w:pPr>
    <w:rPr>
      <w:lang w:val="en-US" w:eastAsia="en-US"/>
    </w:rPr>
  </w:style>
  <w:style w:type="paragraph" w:customStyle="1" w:styleId="stitle-article-norm">
    <w:name w:val="stitle-article-norm"/>
    <w:basedOn w:val="Normal"/>
    <w:rsid w:val="005F3A73"/>
    <w:pPr>
      <w:spacing w:before="240" w:after="120"/>
      <w:jc w:val="center"/>
    </w:pPr>
    <w:rPr>
      <w:b/>
      <w:bCs/>
      <w:lang w:val="en-US" w:eastAsia="en-US"/>
    </w:rPr>
  </w:style>
  <w:style w:type="paragraph" w:customStyle="1" w:styleId="title-division-1">
    <w:name w:val="title-division-1"/>
    <w:basedOn w:val="Normal"/>
    <w:rsid w:val="005F3A73"/>
    <w:pPr>
      <w:spacing w:after="120"/>
      <w:jc w:val="center"/>
    </w:pPr>
    <w:rPr>
      <w:lang w:val="en-US" w:eastAsia="en-US"/>
    </w:rPr>
  </w:style>
  <w:style w:type="paragraph" w:customStyle="1" w:styleId="title-division-2">
    <w:name w:val="title-division-2"/>
    <w:basedOn w:val="Normal"/>
    <w:rsid w:val="005F3A73"/>
    <w:pPr>
      <w:spacing w:after="120"/>
      <w:jc w:val="center"/>
    </w:pPr>
    <w:rPr>
      <w:b/>
      <w:bCs/>
      <w:lang w:val="en-US" w:eastAsia="en-US"/>
    </w:rPr>
  </w:style>
  <w:style w:type="character" w:customStyle="1" w:styleId="superscript">
    <w:name w:val="superscript"/>
    <w:basedOn w:val="DefaultParagraphFont"/>
    <w:rsid w:val="005F3A73"/>
    <w:rPr>
      <w:sz w:val="17"/>
      <w:szCs w:val="17"/>
      <w:vertAlign w:val="superscript"/>
    </w:rPr>
  </w:style>
  <w:style w:type="paragraph" w:styleId="PlainText">
    <w:name w:val="Plain Text"/>
    <w:basedOn w:val="Normal"/>
    <w:link w:val="PlainTextChar"/>
    <w:rsid w:val="005F3A73"/>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5F3A73"/>
    <w:rPr>
      <w:rFonts w:ascii="Courier New" w:eastAsia="Times New Roman" w:hAnsi="Courier New" w:cs="Courier New"/>
      <w:sz w:val="20"/>
      <w:szCs w:val="20"/>
    </w:rPr>
  </w:style>
  <w:style w:type="paragraph" w:customStyle="1" w:styleId="title-doc-first">
    <w:name w:val="title-doc-first"/>
    <w:basedOn w:val="Normal"/>
    <w:rsid w:val="005F3A73"/>
    <w:pPr>
      <w:spacing w:before="120"/>
      <w:jc w:val="center"/>
    </w:pPr>
    <w:rPr>
      <w:b/>
      <w:bCs/>
      <w:lang w:val="en-US" w:eastAsia="en-US"/>
    </w:rPr>
  </w:style>
  <w:style w:type="paragraph" w:customStyle="1" w:styleId="toc-1">
    <w:name w:val="toc-1"/>
    <w:basedOn w:val="Normal"/>
    <w:rsid w:val="005F3A73"/>
    <w:pPr>
      <w:spacing w:before="100" w:beforeAutospacing="1" w:after="100" w:afterAutospacing="1"/>
    </w:pPr>
    <w:rPr>
      <w:lang w:val="en-US" w:eastAsia="en-US"/>
    </w:rPr>
  </w:style>
  <w:style w:type="paragraph" w:customStyle="1" w:styleId="modref">
    <w:name w:val="modref"/>
    <w:basedOn w:val="Normal"/>
    <w:rsid w:val="005F3A73"/>
    <w:pPr>
      <w:spacing w:before="120"/>
    </w:pPr>
    <w:rPr>
      <w:b/>
      <w:bCs/>
      <w:lang w:val="en-US" w:eastAsia="en-US"/>
    </w:rPr>
  </w:style>
  <w:style w:type="paragraph" w:customStyle="1" w:styleId="ti-section-1">
    <w:name w:val="ti-section-1"/>
    <w:basedOn w:val="Normal"/>
    <w:rsid w:val="005F3A73"/>
    <w:pPr>
      <w:spacing w:before="480"/>
      <w:jc w:val="center"/>
    </w:pPr>
    <w:rPr>
      <w:b/>
      <w:bCs/>
      <w:lang w:val="en-US" w:eastAsia="en-US"/>
    </w:rPr>
  </w:style>
  <w:style w:type="character" w:customStyle="1" w:styleId="bold">
    <w:name w:val="bold"/>
    <w:basedOn w:val="DefaultParagraphFont"/>
    <w:rsid w:val="005F3A73"/>
    <w:rPr>
      <w:b/>
      <w:bCs/>
    </w:rPr>
  </w:style>
  <w:style w:type="paragraph" w:customStyle="1" w:styleId="ti-art">
    <w:name w:val="ti-art"/>
    <w:basedOn w:val="Normal"/>
    <w:rsid w:val="005F3A73"/>
    <w:pPr>
      <w:spacing w:before="360" w:after="120"/>
      <w:jc w:val="center"/>
    </w:pPr>
    <w:rPr>
      <w:i/>
      <w:iCs/>
      <w:lang w:val="en-US" w:eastAsia="en-US"/>
    </w:rPr>
  </w:style>
  <w:style w:type="paragraph" w:customStyle="1" w:styleId="Normal1">
    <w:name w:val="Normal1"/>
    <w:basedOn w:val="Normal"/>
    <w:rsid w:val="005F3A73"/>
    <w:pPr>
      <w:spacing w:before="120"/>
      <w:jc w:val="both"/>
    </w:pPr>
    <w:rPr>
      <w:lang w:val="en-US" w:eastAsia="en-US"/>
    </w:rPr>
  </w:style>
  <w:style w:type="paragraph" w:customStyle="1" w:styleId="container-center">
    <w:name w:val="container-center"/>
    <w:basedOn w:val="Normal"/>
    <w:rsid w:val="005F3A73"/>
    <w:pPr>
      <w:spacing w:before="100" w:beforeAutospacing="1" w:after="100" w:afterAutospacing="1"/>
      <w:jc w:val="center"/>
    </w:pPr>
    <w:rPr>
      <w:lang w:val="en-US" w:eastAsia="en-US"/>
    </w:rPr>
  </w:style>
  <w:style w:type="paragraph" w:customStyle="1" w:styleId="List1">
    <w:name w:val="List1"/>
    <w:basedOn w:val="Normal"/>
    <w:rsid w:val="005F3A73"/>
    <w:pPr>
      <w:spacing w:before="100" w:beforeAutospacing="1" w:after="100" w:afterAutospacing="1"/>
      <w:ind w:left="240"/>
      <w:jc w:val="both"/>
    </w:pPr>
    <w:rPr>
      <w:lang w:val="en-US" w:eastAsia="en-US"/>
    </w:rPr>
  </w:style>
  <w:style w:type="paragraph" w:customStyle="1" w:styleId="tbl-norm">
    <w:name w:val="tbl-norm"/>
    <w:basedOn w:val="Normal"/>
    <w:rsid w:val="005F3A73"/>
    <w:pPr>
      <w:spacing w:before="60" w:after="60"/>
      <w:jc w:val="both"/>
    </w:pPr>
    <w:rPr>
      <w:lang w:val="en-US" w:eastAsia="en-US"/>
    </w:rPr>
  </w:style>
  <w:style w:type="paragraph" w:customStyle="1" w:styleId="title-table">
    <w:name w:val="title-table"/>
    <w:basedOn w:val="Normal"/>
    <w:rsid w:val="005F3A73"/>
    <w:pPr>
      <w:spacing w:after="120"/>
      <w:jc w:val="center"/>
    </w:pPr>
    <w:rPr>
      <w:b/>
      <w:bCs/>
      <w:lang w:val="en-US" w:eastAsia="en-US"/>
    </w:rPr>
  </w:style>
  <w:style w:type="paragraph" w:customStyle="1" w:styleId="Normal2">
    <w:name w:val="Normal2"/>
    <w:basedOn w:val="Normal"/>
    <w:rsid w:val="005F3A73"/>
    <w:pPr>
      <w:spacing w:before="100" w:beforeAutospacing="1" w:after="100" w:afterAutospacing="1"/>
    </w:pPr>
    <w:rPr>
      <w:lang w:val="en-US" w:eastAsia="en-US"/>
    </w:rPr>
  </w:style>
  <w:style w:type="paragraph" w:customStyle="1" w:styleId="msonormal0">
    <w:name w:val="msonormal"/>
    <w:basedOn w:val="Normal"/>
    <w:rsid w:val="005F3A73"/>
    <w:pPr>
      <w:spacing w:before="100" w:beforeAutospacing="1" w:after="100" w:afterAutospacing="1"/>
    </w:pPr>
    <w:rPr>
      <w:lang w:val="en-US" w:eastAsia="en-US"/>
    </w:rPr>
  </w:style>
  <w:style w:type="paragraph" w:customStyle="1" w:styleId="norm3">
    <w:name w:val="norm3"/>
    <w:basedOn w:val="Normal"/>
    <w:rsid w:val="005F3A73"/>
    <w:pPr>
      <w:spacing w:before="120" w:line="312" w:lineRule="atLeast"/>
      <w:jc w:val="both"/>
    </w:pPr>
    <w:rPr>
      <w:lang w:val="en-US" w:eastAsia="en-US"/>
    </w:rPr>
  </w:style>
  <w:style w:type="paragraph" w:styleId="NoSpacing">
    <w:name w:val="No Spacing"/>
    <w:uiPriority w:val="1"/>
    <w:qFormat/>
    <w:rsid w:val="00190B87"/>
    <w:pPr>
      <w:spacing w:after="0" w:line="240" w:lineRule="auto"/>
    </w:pPr>
  </w:style>
  <w:style w:type="paragraph" w:styleId="Revision">
    <w:name w:val="Revision"/>
    <w:hidden/>
    <w:uiPriority w:val="99"/>
    <w:semiHidden/>
    <w:rsid w:val="00E5655A"/>
    <w:pPr>
      <w:spacing w:after="0" w:line="240" w:lineRule="auto"/>
    </w:pPr>
    <w:rPr>
      <w:rFonts w:ascii="Times New Roman" w:eastAsia="Times New Roman" w:hAnsi="Times New Roman" w:cs="Times New Roman"/>
      <w:sz w:val="24"/>
      <w:szCs w:val="24"/>
      <w:lang w:val="ru-RU" w:eastAsia="ru-RU"/>
    </w:rPr>
  </w:style>
  <w:style w:type="character" w:styleId="UnresolvedMention">
    <w:name w:val="Unresolved Mention"/>
    <w:basedOn w:val="DefaultParagraphFont"/>
    <w:uiPriority w:val="99"/>
    <w:semiHidden/>
    <w:unhideWhenUsed/>
    <w:rsid w:val="00643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07" Type="http://schemas.openxmlformats.org/officeDocument/2006/relationships/image" Target="media/image96.jpeg"/><Relationship Id="rId11" Type="http://schemas.openxmlformats.org/officeDocument/2006/relationships/endnotes" Target="endnotes.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customXml" Target="../customXml/item5.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fontTable" Target="fontTable.xml"/><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emf"/><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image" Target="media/image12.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pn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header" Target="header1.xml"/><Relationship Id="rId172" Type="http://schemas.openxmlformats.org/officeDocument/2006/relationships/image" Target="media/image16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emf"/><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7" Type="http://schemas.openxmlformats.org/officeDocument/2006/relationships/styles" Target="styl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header" Target="header2.xml"/><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settings" Target="settings.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emf"/><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footer" Target="footer1.xml"/><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notes" Target="footnotes.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2.xml"/><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6" Type="http://schemas.openxmlformats.org/officeDocument/2006/relationships/image" Target="media/image5.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pn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emf"/><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 Type="http://schemas.openxmlformats.org/officeDocument/2006/relationships/customXml" Target="../customXml/item1.xml"/><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CC8FD9FC602D47942046F00E7457D2" ma:contentTypeVersion="2" ma:contentTypeDescription="Create a new document." ma:contentTypeScope="" ma:versionID="3edab2dab2c3387671edca4397bcec72">
  <xsd:schema xmlns:xsd="http://www.w3.org/2001/XMLSchema" xmlns:xs="http://www.w3.org/2001/XMLSchema" xmlns:p="http://schemas.microsoft.com/office/2006/metadata/properties" xmlns:ns2="ab897e66-8555-453e-a498-d234c2d9a514" targetNamespace="http://schemas.microsoft.com/office/2006/metadata/properties" ma:root="true" ma:fieldsID="89625898adbe3814e28d4b00f82f36bf" ns2:_="">
    <xsd:import namespace="ab897e66-8555-453e-a498-d234c2d9a51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97e66-8555-453e-a498-d234c2d9a5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itus xmlns="http://schemas.titus.com/TitusProperties/">
  <TitusGUID xmlns="">f9dc13b9-184d-4208-88b5-f5b58253d123</TitusGUID>
  <TitusMetadata xmlns="">eyJucyI6IioiLCJwcm9wcyI6W3sibiI6IkNsYXNpZmljYXJlIiwidmFscyI6W3sidmFsdWUiOiJOT05FIn1dfV19</TitusMetadata>
</titu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634D-7678-43C7-9093-4ADAA281E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97e66-8555-453e-a498-d234c2d9a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2E8EF-D770-47C2-9539-84EA45E4CFA8}">
  <ds:schemaRefs>
    <ds:schemaRef ds:uri="http://schemas.microsoft.com/sharepoint/v3/contenttype/forms"/>
  </ds:schemaRefs>
</ds:datastoreItem>
</file>

<file path=customXml/itemProps3.xml><?xml version="1.0" encoding="utf-8"?>
<ds:datastoreItem xmlns:ds="http://schemas.openxmlformats.org/officeDocument/2006/customXml" ds:itemID="{D3B0D63D-ACF7-44BB-BD70-4B691B473E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592115-1083-4203-ABFD-04803716B09E}">
  <ds:schemaRefs>
    <ds:schemaRef ds:uri="http://schemas.titus.com/TitusProperties/"/>
    <ds:schemaRef ds:uri=""/>
  </ds:schemaRefs>
</ds:datastoreItem>
</file>

<file path=customXml/itemProps5.xml><?xml version="1.0" encoding="utf-8"?>
<ds:datastoreItem xmlns:ds="http://schemas.openxmlformats.org/officeDocument/2006/customXml" ds:itemID="{B514FBFC-61C1-4D37-8324-C900C185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21773</Words>
  <Characters>126287</Characters>
  <Application>Microsoft Office Word</Application>
  <DocSecurity>0</DocSecurity>
  <Lines>1052</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BNM</dc:creator>
  <cp:lastModifiedBy>Ion V. Nicorici</cp:lastModifiedBy>
  <cp:revision>2</cp:revision>
  <cp:lastPrinted>2025-11-13T08:29:00Z</cp:lastPrinted>
  <dcterms:created xsi:type="dcterms:W3CDTF">2025-11-13T08:30:00Z</dcterms:created>
  <dcterms:modified xsi:type="dcterms:W3CDTF">2025-11-13T08:30:00Z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f9dc13b9-184d-4208-88b5-f5b58253d123</vt:lpwstr>
  </property>
  <property fmtid="{D5CDD505-2E9C-101B-9397-08002B2CF9AE}" pid="3" name="ContentTypeId">
    <vt:lpwstr>0x01010041CC8FD9FC602D47942046F00E7457D2</vt:lpwstr>
  </property>
  <property fmtid="{D5CDD505-2E9C-101B-9397-08002B2CF9AE}" pid="4" name="Clasificare">
    <vt:lpwstr>NONE</vt:lpwstr>
  </property>
  <property fmtid="{D5CDD505-2E9C-101B-9397-08002B2CF9AE}" pid="5" name="MSIP_Label_38962dcf-d39f-4edc-a396-338a56ba9170_Enabled">
    <vt:lpwstr>true</vt:lpwstr>
  </property>
  <property fmtid="{D5CDD505-2E9C-101B-9397-08002B2CF9AE}" pid="6" name="MSIP_Label_38962dcf-d39f-4edc-a396-338a56ba9170_SetDate">
    <vt:lpwstr>2025-01-13T07:32:34Z</vt:lpwstr>
  </property>
  <property fmtid="{D5CDD505-2E9C-101B-9397-08002B2CF9AE}" pid="7" name="MSIP_Label_38962dcf-d39f-4edc-a396-338a56ba9170_Method">
    <vt:lpwstr>Privileged</vt:lpwstr>
  </property>
  <property fmtid="{D5CDD505-2E9C-101B-9397-08002B2CF9AE}" pid="8" name="MSIP_Label_38962dcf-d39f-4edc-a396-338a56ba9170_Name">
    <vt:lpwstr>NONE</vt:lpwstr>
  </property>
  <property fmtid="{D5CDD505-2E9C-101B-9397-08002B2CF9AE}" pid="9" name="MSIP_Label_38962dcf-d39f-4edc-a396-338a56ba9170_SiteId">
    <vt:lpwstr>5887d430-0034-4561-b771-12c77faf2fa0</vt:lpwstr>
  </property>
  <property fmtid="{D5CDD505-2E9C-101B-9397-08002B2CF9AE}" pid="10" name="MSIP_Label_38962dcf-d39f-4edc-a396-338a56ba9170_ActionId">
    <vt:lpwstr>c666afc8-d817-4bf5-87cb-19c27617c07c</vt:lpwstr>
  </property>
  <property fmtid="{D5CDD505-2E9C-101B-9397-08002B2CF9AE}" pid="11" name="MSIP_Label_38962dcf-d39f-4edc-a396-338a56ba9170_ContentBits">
    <vt:lpwstr>0</vt:lpwstr>
  </property>
</Properties>
</file>